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69FF25D">
      <w:pPr>
        <w:rPr>
          <w:sz w:val="48"/>
        </w:rPr>
      </w:pPr>
    </w:p>
    <w:p w14:paraId="3913B922">
      <w:pPr>
        <w:rPr>
          <w:sz w:val="48"/>
        </w:rPr>
      </w:pPr>
    </w:p>
    <w:p w14:paraId="2F9D9EF2">
      <w:pPr>
        <w:jc w:val="center"/>
        <w:rPr>
          <w:rFonts w:ascii="宋体" w:hAnsi="宋体"/>
          <w:b/>
          <w:bCs/>
          <w:sz w:val="48"/>
          <w:szCs w:val="30"/>
        </w:rPr>
      </w:pPr>
      <w:r>
        <w:rPr>
          <w:rFonts w:ascii="宋体" w:hAnsi="宋体"/>
          <w:b/>
          <w:bCs/>
          <w:sz w:val="48"/>
          <w:szCs w:val="30"/>
        </w:rPr>
        <w:t>四川银行定开系列6个月13号净值型理财产品</w:t>
      </w:r>
    </w:p>
    <w:p w14:paraId="18A2C40D">
      <w:pPr>
        <w:jc w:val="center"/>
        <w:rPr>
          <w:rFonts w:ascii="宋体" w:hAnsi="宋体"/>
          <w:b/>
          <w:bCs/>
          <w:sz w:val="48"/>
          <w:szCs w:val="30"/>
        </w:rPr>
      </w:pPr>
      <w:r>
        <w:rPr>
          <w:rFonts w:ascii="宋体" w:hAnsi="宋体"/>
          <w:b/>
          <w:bCs/>
          <w:sz w:val="48"/>
          <w:szCs w:val="30"/>
        </w:rPr>
        <w:t>2026年第2季度</w:t>
      </w:r>
      <w:r>
        <w:rPr>
          <w:rFonts w:hint="eastAsia" w:ascii="宋体" w:hAnsi="宋体"/>
          <w:b/>
          <w:bCs/>
          <w:sz w:val="48"/>
          <w:szCs w:val="30"/>
        </w:rPr>
        <w:t>报告</w:t>
      </w:r>
    </w:p>
    <w:p w14:paraId="7055EEFE">
      <w:pPr>
        <w:jc w:val="center"/>
        <w:rPr>
          <w:rFonts w:ascii="宋体" w:hAnsi="宋体"/>
          <w:b/>
          <w:bCs/>
          <w:sz w:val="28"/>
          <w:szCs w:val="30"/>
        </w:rPr>
      </w:pPr>
    </w:p>
    <w:p w14:paraId="0A492439">
      <w:pPr>
        <w:jc w:val="center"/>
        <w:rPr>
          <w:rFonts w:ascii="宋体" w:hAnsi="宋体"/>
          <w:sz w:val="28"/>
          <w:szCs w:val="30"/>
        </w:rPr>
      </w:pPr>
    </w:p>
    <w:p w14:paraId="3DF126CC">
      <w:pPr>
        <w:jc w:val="center"/>
        <w:rPr>
          <w:rFonts w:ascii="宋体" w:hAnsi="宋体"/>
          <w:sz w:val="28"/>
          <w:szCs w:val="30"/>
        </w:rPr>
      </w:pPr>
    </w:p>
    <w:p w14:paraId="1CC37603">
      <w:pPr>
        <w:jc w:val="center"/>
        <w:rPr>
          <w:rFonts w:ascii="宋体" w:hAnsi="宋体"/>
          <w:sz w:val="28"/>
          <w:szCs w:val="30"/>
        </w:rPr>
      </w:pPr>
    </w:p>
    <w:p w14:paraId="0BDB81DD">
      <w:pPr>
        <w:jc w:val="center"/>
        <w:rPr>
          <w:rFonts w:ascii="宋体" w:hAnsi="宋体"/>
          <w:sz w:val="28"/>
          <w:szCs w:val="30"/>
        </w:rPr>
      </w:pPr>
    </w:p>
    <w:p w14:paraId="3365DD36">
      <w:pPr>
        <w:jc w:val="center"/>
        <w:rPr>
          <w:rFonts w:ascii="宋体" w:hAnsi="宋体"/>
          <w:sz w:val="28"/>
          <w:szCs w:val="30"/>
        </w:rPr>
      </w:pPr>
    </w:p>
    <w:p w14:paraId="07DD7B24">
      <w:pPr>
        <w:jc w:val="center"/>
        <w:rPr>
          <w:rFonts w:ascii="宋体" w:hAnsi="宋体"/>
          <w:sz w:val="28"/>
          <w:szCs w:val="30"/>
        </w:rPr>
      </w:pPr>
    </w:p>
    <w:p w14:paraId="130FDEF2">
      <w:pPr>
        <w:jc w:val="center"/>
        <w:rPr>
          <w:rFonts w:ascii="宋体" w:hAnsi="宋体"/>
          <w:sz w:val="28"/>
          <w:szCs w:val="30"/>
        </w:rPr>
      </w:pPr>
    </w:p>
    <w:p w14:paraId="42B3D552">
      <w:pPr>
        <w:jc w:val="center"/>
        <w:rPr>
          <w:rFonts w:ascii="宋体" w:hAnsi="宋体"/>
          <w:sz w:val="28"/>
          <w:szCs w:val="30"/>
        </w:rPr>
      </w:pPr>
    </w:p>
    <w:p w14:paraId="746276E6">
      <w:pPr>
        <w:jc w:val="center"/>
        <w:rPr>
          <w:rFonts w:ascii="宋体" w:hAnsi="宋体"/>
          <w:sz w:val="28"/>
          <w:szCs w:val="30"/>
        </w:rPr>
      </w:pPr>
    </w:p>
    <w:p w14:paraId="7BA91102">
      <w:pPr>
        <w:jc w:val="center"/>
        <w:rPr>
          <w:rFonts w:ascii="宋体" w:hAnsi="宋体"/>
          <w:sz w:val="28"/>
          <w:szCs w:val="30"/>
        </w:rPr>
      </w:pPr>
    </w:p>
    <w:p w14:paraId="3C5998B0">
      <w:pPr>
        <w:jc w:val="center"/>
        <w:rPr>
          <w:rFonts w:ascii="宋体" w:hAnsi="宋体"/>
          <w:sz w:val="28"/>
          <w:szCs w:val="30"/>
        </w:rPr>
      </w:pPr>
    </w:p>
    <w:p w14:paraId="58577050">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4AAAC586">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174F0739">
      <w:pPr>
        <w:ind w:firstLine="1680" w:firstLineChars="600"/>
        <w:jc w:val="left"/>
        <w:rPr>
          <w:rFonts w:ascii="宋体" w:hAnsi="宋体"/>
          <w:sz w:val="28"/>
          <w:szCs w:val="30"/>
        </w:rPr>
      </w:pPr>
    </w:p>
    <w:p w14:paraId="292EE034">
      <w:pPr>
        <w:ind w:firstLine="1680" w:firstLineChars="600"/>
        <w:jc w:val="left"/>
        <w:rPr>
          <w:rFonts w:ascii="宋体" w:hAnsi="宋体"/>
          <w:sz w:val="28"/>
          <w:szCs w:val="30"/>
        </w:rPr>
      </w:pPr>
    </w:p>
    <w:p w14:paraId="0B4619B6">
      <w:pPr>
        <w:ind w:firstLine="1680" w:firstLineChars="600"/>
        <w:jc w:val="left"/>
        <w:rPr>
          <w:rFonts w:ascii="宋体" w:hAnsi="宋体"/>
          <w:sz w:val="28"/>
          <w:szCs w:val="30"/>
        </w:rPr>
      </w:pPr>
    </w:p>
    <w:p w14:paraId="57953099">
      <w:pPr>
        <w:rPr>
          <w:rFonts w:ascii="宋体" w:hAnsi="宋体"/>
          <w:sz w:val="28"/>
          <w:szCs w:val="30"/>
        </w:rPr>
      </w:pPr>
    </w:p>
    <w:p w14:paraId="6C828C27">
      <w:pPr>
        <w:jc w:val="center"/>
        <w:rPr>
          <w:rFonts w:ascii="宋体" w:hAnsi="宋体"/>
          <w:b/>
          <w:bCs/>
          <w:sz w:val="28"/>
          <w:szCs w:val="30"/>
        </w:rPr>
      </w:pPr>
    </w:p>
    <w:p w14:paraId="50C4FE30">
      <w:pPr>
        <w:jc w:val="center"/>
        <w:rPr>
          <w:rFonts w:ascii="宋体" w:hAnsi="宋体"/>
          <w:b/>
          <w:bCs/>
          <w:sz w:val="28"/>
          <w:szCs w:val="30"/>
        </w:rPr>
      </w:pPr>
      <w:r>
        <w:rPr>
          <w:rFonts w:hint="eastAsia" w:ascii="宋体" w:hAnsi="宋体"/>
          <w:b/>
          <w:bCs/>
          <w:sz w:val="28"/>
          <w:szCs w:val="30"/>
        </w:rPr>
        <w:t>重要提示</w:t>
      </w:r>
    </w:p>
    <w:p w14:paraId="78C785A9">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12567419">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3DC235CF">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5AE7C525">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自2026-04-01起至2026-06-30</w:t>
      </w:r>
      <w:r>
        <w:rPr>
          <w:rFonts w:ascii="宋体" w:hAnsi="宋体"/>
          <w:szCs w:val="21"/>
        </w:rPr>
        <w:t>止。</w:t>
      </w:r>
    </w:p>
    <w:p w14:paraId="6F292EB9">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2CAB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B458984">
            <w:pPr>
              <w:jc w:val="left"/>
              <w:rPr>
                <w:rFonts w:ascii="宋体" w:hAnsi="宋体"/>
                <w:b/>
                <w:szCs w:val="21"/>
              </w:rPr>
            </w:pPr>
            <w:r>
              <w:rPr>
                <w:rFonts w:hint="eastAsia" w:ascii="宋体" w:hAnsi="宋体"/>
                <w:b/>
                <w:szCs w:val="21"/>
              </w:rPr>
              <w:t>项目</w:t>
            </w:r>
          </w:p>
        </w:tc>
        <w:tc>
          <w:tcPr>
            <w:tcW w:w="5027" w:type="dxa"/>
            <w:vAlign w:val="center"/>
          </w:tcPr>
          <w:p w14:paraId="189CBF6A">
            <w:pPr>
              <w:jc w:val="left"/>
              <w:rPr>
                <w:rFonts w:ascii="宋体" w:hAnsi="宋体"/>
                <w:b/>
              </w:rPr>
            </w:pPr>
            <w:r>
              <w:rPr>
                <w:rFonts w:hint="eastAsia" w:ascii="宋体" w:hAnsi="宋体"/>
                <w:b/>
              </w:rPr>
              <w:t>信息</w:t>
            </w:r>
          </w:p>
        </w:tc>
      </w:tr>
      <w:tr w14:paraId="6AA91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2063301">
            <w:pPr>
              <w:jc w:val="left"/>
              <w:rPr>
                <w:rFonts w:hint="eastAsia" w:ascii="宋体" w:hAnsi="宋体"/>
                <w:szCs w:val="21"/>
              </w:rPr>
            </w:pPr>
            <w:r>
              <w:rPr>
                <w:rFonts w:hint="eastAsia" w:ascii="宋体" w:hAnsi="宋体"/>
                <w:szCs w:val="21"/>
              </w:rPr>
              <w:t>产品名称</w:t>
            </w:r>
          </w:p>
        </w:tc>
        <w:tc>
          <w:tcPr>
            <w:tcW w:w="5027" w:type="dxa"/>
            <w:vAlign w:val="center"/>
          </w:tcPr>
          <w:p w14:paraId="255C4AF0">
            <w:pPr>
              <w:jc w:val="left"/>
              <w:rPr>
                <w:rFonts w:hint="eastAsia" w:ascii="宋体" w:hAnsi="宋体"/>
              </w:rPr>
            </w:pPr>
            <w:r>
              <w:rPr>
                <w:rFonts w:hint="eastAsia" w:ascii="宋体" w:hAnsi="宋体"/>
              </w:rPr>
              <w:t>四川银行定开系列6个月13号净值型理财产品</w:t>
            </w:r>
          </w:p>
        </w:tc>
      </w:tr>
      <w:tr w14:paraId="7DB1A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3EE68E5">
            <w:pPr>
              <w:jc w:val="left"/>
              <w:rPr>
                <w:rFonts w:hint="eastAsia" w:ascii="宋体" w:hAnsi="宋体"/>
                <w:szCs w:val="21"/>
              </w:rPr>
            </w:pPr>
            <w:r>
              <w:rPr>
                <w:rFonts w:hint="eastAsia" w:ascii="宋体" w:hAnsi="宋体"/>
                <w:szCs w:val="21"/>
              </w:rPr>
              <w:t>产品登记编码</w:t>
            </w:r>
          </w:p>
        </w:tc>
        <w:tc>
          <w:tcPr>
            <w:tcW w:w="5027" w:type="dxa"/>
            <w:vAlign w:val="center"/>
          </w:tcPr>
          <w:p w14:paraId="49F7DC4C">
            <w:pPr>
              <w:jc w:val="left"/>
              <w:rPr>
                <w:rFonts w:hint="eastAsia" w:ascii="宋体" w:hAnsi="宋体"/>
              </w:rPr>
            </w:pPr>
            <w:r>
              <w:rPr>
                <w:rFonts w:hint="eastAsia" w:ascii="宋体" w:hAnsi="宋体"/>
              </w:rPr>
              <w:t>C1438121000183</w:t>
            </w:r>
          </w:p>
        </w:tc>
      </w:tr>
      <w:tr w14:paraId="09C80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9B6C229">
            <w:pPr>
              <w:jc w:val="left"/>
              <w:rPr>
                <w:rFonts w:hint="eastAsia" w:ascii="宋体" w:hAnsi="宋体"/>
                <w:szCs w:val="21"/>
              </w:rPr>
            </w:pPr>
            <w:r>
              <w:rPr>
                <w:rFonts w:hint="eastAsia" w:ascii="宋体" w:hAnsi="宋体"/>
                <w:szCs w:val="21"/>
              </w:rPr>
              <w:t>产品管理人</w:t>
            </w:r>
          </w:p>
        </w:tc>
        <w:tc>
          <w:tcPr>
            <w:tcW w:w="5027" w:type="dxa"/>
            <w:vAlign w:val="center"/>
          </w:tcPr>
          <w:p w14:paraId="2EC6AC20">
            <w:pPr>
              <w:jc w:val="left"/>
              <w:rPr>
                <w:rFonts w:hint="eastAsia" w:ascii="宋体" w:hAnsi="宋体"/>
              </w:rPr>
            </w:pPr>
            <w:r>
              <w:rPr>
                <w:rFonts w:hint="eastAsia" w:ascii="宋体" w:hAnsi="宋体"/>
              </w:rPr>
              <w:t>四川银行股份有限公司</w:t>
            </w:r>
          </w:p>
        </w:tc>
      </w:tr>
      <w:tr w14:paraId="62378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5284FF4">
            <w:pPr>
              <w:jc w:val="left"/>
              <w:rPr>
                <w:rFonts w:hint="eastAsia" w:ascii="宋体" w:hAnsi="宋体"/>
                <w:szCs w:val="21"/>
              </w:rPr>
            </w:pPr>
            <w:r>
              <w:rPr>
                <w:rFonts w:hint="eastAsia" w:ascii="宋体" w:hAnsi="宋体"/>
                <w:szCs w:val="21"/>
              </w:rPr>
              <w:t>产品托管人</w:t>
            </w:r>
          </w:p>
        </w:tc>
        <w:tc>
          <w:tcPr>
            <w:tcW w:w="5027" w:type="dxa"/>
            <w:vAlign w:val="center"/>
          </w:tcPr>
          <w:p w14:paraId="67437CC9">
            <w:pPr>
              <w:jc w:val="left"/>
              <w:rPr>
                <w:rFonts w:hint="eastAsia" w:ascii="宋体" w:hAnsi="宋体"/>
              </w:rPr>
            </w:pPr>
            <w:r>
              <w:rPr>
                <w:rFonts w:hint="eastAsia" w:ascii="宋体" w:hAnsi="宋体"/>
              </w:rPr>
              <w:t>招商银行股份有限公司成都分行</w:t>
            </w:r>
          </w:p>
        </w:tc>
      </w:tr>
      <w:tr w14:paraId="1FCD4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7F9A982">
            <w:pPr>
              <w:jc w:val="left"/>
              <w:rPr>
                <w:rFonts w:hint="eastAsia" w:ascii="宋体" w:hAnsi="宋体"/>
                <w:szCs w:val="21"/>
              </w:rPr>
            </w:pPr>
            <w:r>
              <w:rPr>
                <w:rFonts w:hint="eastAsia" w:ascii="宋体" w:hAnsi="宋体"/>
                <w:szCs w:val="21"/>
              </w:rPr>
              <w:t>产品运作方式</w:t>
            </w:r>
          </w:p>
        </w:tc>
        <w:tc>
          <w:tcPr>
            <w:tcW w:w="5027" w:type="dxa"/>
            <w:vAlign w:val="center"/>
          </w:tcPr>
          <w:p w14:paraId="59B2637F">
            <w:pPr>
              <w:jc w:val="left"/>
              <w:rPr>
                <w:rFonts w:hint="eastAsia" w:ascii="宋体" w:hAnsi="宋体"/>
              </w:rPr>
            </w:pPr>
            <w:r>
              <w:rPr>
                <w:rFonts w:hint="eastAsia" w:ascii="宋体" w:hAnsi="宋体"/>
              </w:rPr>
              <w:t>公募定期开放式净值型</w:t>
            </w:r>
          </w:p>
        </w:tc>
      </w:tr>
      <w:tr w14:paraId="2A28C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7220F29">
            <w:pPr>
              <w:jc w:val="left"/>
              <w:rPr>
                <w:rFonts w:hint="eastAsia" w:ascii="宋体" w:hAnsi="宋体"/>
                <w:szCs w:val="21"/>
              </w:rPr>
            </w:pPr>
            <w:r>
              <w:rPr>
                <w:rFonts w:hint="eastAsia" w:ascii="宋体" w:hAnsi="宋体"/>
                <w:szCs w:val="21"/>
              </w:rPr>
              <w:t>产品成立日</w:t>
            </w:r>
          </w:p>
        </w:tc>
        <w:tc>
          <w:tcPr>
            <w:tcW w:w="5027" w:type="dxa"/>
            <w:vAlign w:val="center"/>
          </w:tcPr>
          <w:p w14:paraId="07063C01">
            <w:pPr>
              <w:jc w:val="left"/>
              <w:rPr>
                <w:rFonts w:hint="eastAsia" w:ascii="宋体" w:hAnsi="宋体"/>
              </w:rPr>
            </w:pPr>
            <w:r>
              <w:rPr>
                <w:rFonts w:hint="eastAsia" w:ascii="宋体" w:hAnsi="宋体"/>
              </w:rPr>
              <w:t>2022-03-16</w:t>
            </w:r>
          </w:p>
        </w:tc>
      </w:tr>
      <w:tr w14:paraId="26B66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E5BB275">
            <w:pPr>
              <w:jc w:val="left"/>
              <w:rPr>
                <w:rFonts w:hint="eastAsia" w:ascii="宋体" w:hAnsi="宋体"/>
                <w:szCs w:val="21"/>
              </w:rPr>
            </w:pPr>
            <w:r>
              <w:rPr>
                <w:rFonts w:hint="eastAsia" w:ascii="宋体" w:hAnsi="宋体"/>
                <w:szCs w:val="21"/>
              </w:rPr>
              <w:t>产品到期日</w:t>
            </w:r>
          </w:p>
        </w:tc>
        <w:tc>
          <w:tcPr>
            <w:tcW w:w="5027" w:type="dxa"/>
            <w:vAlign w:val="center"/>
          </w:tcPr>
          <w:p w14:paraId="78328782">
            <w:pPr>
              <w:jc w:val="left"/>
              <w:rPr>
                <w:rFonts w:hint="eastAsia" w:ascii="宋体" w:hAnsi="宋体"/>
              </w:rPr>
            </w:pPr>
            <w:r>
              <w:rPr>
                <w:rFonts w:hint="eastAsia" w:ascii="宋体" w:hAnsi="宋体"/>
              </w:rPr>
              <w:t>9999-12-31</w:t>
            </w:r>
          </w:p>
        </w:tc>
      </w:tr>
      <w:tr w14:paraId="5955B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43532707">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1A1ED848">
            <w:pPr>
              <w:jc w:val="left"/>
              <w:rPr>
                <w:rFonts w:hint="eastAsia" w:ascii="宋体" w:hAnsi="宋体"/>
              </w:rPr>
            </w:pPr>
            <w:bookmarkStart w:id="0" w:name="OLE_LINK1"/>
            <w:r>
              <w:rPr>
                <w:rFonts w:hint="eastAsia" w:ascii="宋体" w:hAnsi="宋体"/>
              </w:rPr>
              <w:t>236,238,000.00</w:t>
            </w:r>
            <w:bookmarkEnd w:id="0"/>
          </w:p>
        </w:tc>
      </w:tr>
      <w:tr w14:paraId="35601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42839B8">
            <w:pPr>
              <w:jc w:val="left"/>
              <w:rPr>
                <w:rFonts w:hint="eastAsia" w:ascii="宋体" w:hAnsi="宋体"/>
                <w:szCs w:val="21"/>
              </w:rPr>
            </w:pPr>
            <w:r>
              <w:rPr>
                <w:rFonts w:hint="eastAsia" w:ascii="宋体" w:hAnsi="宋体"/>
                <w:szCs w:val="21"/>
              </w:rPr>
              <w:t>业绩比较基准（如有）</w:t>
            </w:r>
          </w:p>
        </w:tc>
        <w:tc>
          <w:tcPr>
            <w:tcW w:w="5027" w:type="dxa"/>
            <w:vAlign w:val="center"/>
          </w:tcPr>
          <w:p w14:paraId="62953B92">
            <w:pPr>
              <w:jc w:val="left"/>
              <w:rPr>
                <w:rFonts w:hint="eastAsia" w:ascii="宋体" w:hAnsi="宋体"/>
              </w:rPr>
            </w:pPr>
            <w:r>
              <w:rPr>
                <w:rFonts w:hint="eastAsia" w:ascii="宋体" w:hAnsi="宋体"/>
              </w:rPr>
              <w:t>[2.25%-3.25%]/年</w:t>
            </w:r>
          </w:p>
        </w:tc>
      </w:tr>
      <w:tr w14:paraId="7B3D1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EDF2449">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5B4A6344">
            <w:pPr>
              <w:jc w:val="left"/>
              <w:rPr>
                <w:rFonts w:hint="eastAsia" w:ascii="宋体" w:hAnsi="宋体"/>
              </w:rPr>
            </w:pPr>
            <w:r>
              <w:rPr>
                <w:rFonts w:hint="eastAsia" w:ascii="宋体" w:hAnsi="宋体"/>
                <w:lang w:val="en-US" w:eastAsia="zh-CN"/>
              </w:rPr>
              <w:t>100.70%</w:t>
            </w:r>
          </w:p>
        </w:tc>
      </w:tr>
      <w:tr w14:paraId="40680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F64E9B5">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15DD2CC7">
            <w:pPr>
              <w:jc w:val="left"/>
              <w:rPr>
                <w:rFonts w:hint="eastAsia" w:ascii="宋体" w:hAnsi="宋体"/>
                <w:lang w:val="en-US" w:eastAsia="zh-CN"/>
              </w:rPr>
            </w:pPr>
            <w:r>
              <w:rPr>
                <w:rFonts w:hint="eastAsia" w:ascii="宋体" w:hAnsi="宋体"/>
              </w:rPr>
              <w:t>市值法</w:t>
            </w:r>
          </w:p>
        </w:tc>
      </w:tr>
      <w:tr w14:paraId="1AD4F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2AEDE3FD">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48AF735B">
            <w:pPr>
              <w:jc w:val="left"/>
              <w:rPr>
                <w:rFonts w:hint="eastAsia" w:ascii="宋体" w:hAnsi="宋体"/>
                <w:lang w:val="en-US" w:eastAsia="zh-CN"/>
              </w:rPr>
            </w:pPr>
            <w:r>
              <w:rPr>
                <w:rFonts w:hint="eastAsia" w:ascii="宋体" w:hAnsi="宋体"/>
              </w:rPr>
              <w:t>四川银行-四川银行定开系列6个月13号净值型理财产品</w:t>
            </w:r>
          </w:p>
        </w:tc>
      </w:tr>
      <w:tr w14:paraId="6CA66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60301DA">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53387B6D">
            <w:pPr>
              <w:jc w:val="left"/>
              <w:rPr>
                <w:rFonts w:hint="eastAsia" w:ascii="宋体" w:hAnsi="宋体"/>
                <w:lang w:val="en-US" w:eastAsia="zh-CN"/>
              </w:rPr>
            </w:pPr>
            <w:r>
              <w:rPr>
                <w:rFonts w:hint="eastAsia" w:ascii="宋体" w:hAnsi="宋体"/>
              </w:rPr>
              <w:t>128912158810710</w:t>
            </w:r>
          </w:p>
        </w:tc>
      </w:tr>
      <w:tr w14:paraId="09031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2CF4729">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6DED2DA2">
            <w:pPr>
              <w:jc w:val="left"/>
              <w:rPr>
                <w:rFonts w:hint="eastAsia" w:ascii="宋体" w:hAnsi="宋体"/>
              </w:rPr>
            </w:pPr>
            <w:r>
              <w:rPr>
                <w:rFonts w:hint="eastAsia" w:ascii="宋体" w:hAnsi="宋体"/>
              </w:rPr>
              <w:t>招商银行成都分行营业部</w:t>
            </w:r>
          </w:p>
        </w:tc>
      </w:tr>
    </w:tbl>
    <w:p w14:paraId="489E729B">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0ECC9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789A6B21">
            <w:pPr>
              <w:jc w:val="center"/>
              <w:rPr>
                <w:rFonts w:ascii="宋体" w:hAnsi="宋体"/>
                <w:b/>
              </w:rPr>
            </w:pPr>
            <w:r>
              <w:rPr>
                <w:rFonts w:hint="eastAsia"/>
                <w:b/>
              </w:rPr>
              <w:t>阶段</w:t>
            </w:r>
          </w:p>
        </w:tc>
        <w:tc>
          <w:tcPr>
            <w:tcW w:w="5103" w:type="dxa"/>
            <w:shd w:val="clear" w:color="auto" w:fill="D9D9D9"/>
            <w:vAlign w:val="center"/>
          </w:tcPr>
          <w:p w14:paraId="409D2830">
            <w:pPr>
              <w:jc w:val="center"/>
              <w:rPr>
                <w:rFonts w:ascii="宋体" w:hAnsi="宋体"/>
                <w:b/>
              </w:rPr>
            </w:pPr>
            <w:r>
              <w:rPr>
                <w:b/>
              </w:rPr>
              <w:t>净值增长率</w:t>
            </w:r>
            <w:r>
              <w:rPr>
                <w:rFonts w:hint="eastAsia"/>
                <w:b/>
              </w:rPr>
              <w:t>（%）</w:t>
            </w:r>
          </w:p>
        </w:tc>
      </w:tr>
      <w:tr w14:paraId="64982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6E469FC6">
            <w:pPr>
              <w:jc w:val="center"/>
              <w:rPr>
                <w:rFonts w:ascii="宋体" w:hAnsi="宋体"/>
              </w:rPr>
            </w:pPr>
            <w:r>
              <w:rPr>
                <w:rFonts w:hint="eastAsia" w:ascii="宋体" w:hAnsi="宋体"/>
              </w:rPr>
              <w:t>当期（</w:t>
            </w:r>
            <w:r>
              <w:rPr>
                <w:rFonts w:ascii="宋体" w:hAnsi="宋体"/>
              </w:rPr>
              <w:t>2026-04-01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7A474257">
            <w:pPr>
              <w:jc w:val="right"/>
            </w:pPr>
            <w:r>
              <w:t>0.50</w:t>
            </w:r>
          </w:p>
        </w:tc>
      </w:tr>
      <w:tr w14:paraId="49780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43FEB5A4">
            <w:pPr>
              <w:jc w:val="center"/>
              <w:rPr>
                <w:rFonts w:ascii="宋体" w:hAnsi="宋体"/>
              </w:rPr>
            </w:pPr>
            <w:r>
              <w:rPr>
                <w:rFonts w:hint="eastAsia" w:ascii="宋体" w:hAnsi="宋体"/>
              </w:rPr>
              <w:t>自产品成立日至今</w:t>
            </w:r>
          </w:p>
        </w:tc>
        <w:tc>
          <w:tcPr>
            <w:tcW w:w="5103" w:type="dxa"/>
            <w:vAlign w:val="center"/>
          </w:tcPr>
          <w:p w14:paraId="4420C839">
            <w:pPr>
              <w:jc w:val="right"/>
            </w:pPr>
            <w:r>
              <w:t>13.42</w:t>
            </w:r>
            <w:bookmarkStart w:id="1" w:name="OLE_LINK4"/>
            <w:bookmarkEnd w:id="1"/>
            <w:bookmarkStart w:id="2" w:name="OLE_LINK7"/>
            <w:bookmarkEnd w:id="2"/>
          </w:p>
        </w:tc>
      </w:tr>
    </w:tbl>
    <w:p w14:paraId="5895AF8C">
      <w:pPr>
        <w:spacing w:line="360" w:lineRule="auto"/>
        <w:ind w:left="420" w:leftChars="200"/>
        <w:jc w:val="left"/>
        <w:rPr>
          <w:rFonts w:ascii="宋体" w:hAnsi="宋体"/>
          <w:sz w:val="24"/>
        </w:rPr>
      </w:pPr>
      <w:r>
        <w:rPr>
          <w:rFonts w:ascii="宋体" w:hAnsi="宋体"/>
          <w:sz w:val="24"/>
        </w:rPr>
        <w:t xml:space="preserve"> </w:t>
      </w:r>
    </w:p>
    <w:p w14:paraId="7D0D88C8">
      <w:pPr>
        <w:pStyle w:val="40"/>
      </w:pPr>
      <w:r>
        <w:rPr>
          <w:rFonts w:hint="eastAsia"/>
        </w:rPr>
        <w:t>主要财务指标</w:t>
      </w:r>
    </w:p>
    <w:p w14:paraId="0532383E">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65309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092F253C">
            <w:pPr>
              <w:jc w:val="left"/>
              <w:rPr>
                <w:rFonts w:ascii="宋体" w:hAnsi="宋体"/>
                <w:b/>
              </w:rPr>
            </w:pPr>
            <w:r>
              <w:rPr>
                <w:rFonts w:hint="eastAsia"/>
                <w:b/>
                <w:bCs/>
              </w:rPr>
              <w:t>项目</w:t>
            </w:r>
          </w:p>
        </w:tc>
        <w:tc>
          <w:tcPr>
            <w:tcW w:w="5027" w:type="dxa"/>
            <w:shd w:val="clear" w:color="auto" w:fill="D9D9D9"/>
            <w:vAlign w:val="center"/>
          </w:tcPr>
          <w:p w14:paraId="22A96043">
            <w:pPr>
              <w:jc w:val="left"/>
              <w:rPr>
                <w:b/>
              </w:rPr>
            </w:pPr>
            <w:r>
              <w:rPr>
                <w:b/>
              </w:rPr>
              <w:t>2026-04-01</w:t>
            </w:r>
            <w:r>
              <w:rPr>
                <w:rFonts w:hint="eastAsia"/>
                <w:b/>
              </w:rPr>
              <w:t xml:space="preserve">至 </w:t>
            </w:r>
            <w:r>
              <w:rPr>
                <w:b/>
              </w:rPr>
              <w:t>2026-06-30</w:t>
            </w:r>
          </w:p>
        </w:tc>
      </w:tr>
      <w:tr w14:paraId="62363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C852490">
            <w:pPr>
              <w:rPr>
                <w:rFonts w:ascii="宋体" w:hAnsi="宋体"/>
              </w:rPr>
            </w:pPr>
            <w:r>
              <w:rPr>
                <w:rFonts w:hint="eastAsia" w:ascii="宋体" w:hAnsi="宋体"/>
                <w:szCs w:val="21"/>
              </w:rPr>
              <w:t>本期已实现收益</w:t>
            </w:r>
          </w:p>
        </w:tc>
        <w:tc>
          <w:tcPr>
            <w:tcW w:w="5027" w:type="dxa"/>
            <w:vAlign w:val="center"/>
          </w:tcPr>
          <w:p w14:paraId="23267B92">
            <w:pPr>
              <w:jc w:val="right"/>
            </w:pPr>
            <w:r>
              <w:t>1,442,957.86</w:t>
            </w:r>
          </w:p>
        </w:tc>
      </w:tr>
      <w:tr w14:paraId="43F01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5566DAB">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07F74A0A">
            <w:pPr>
              <w:ind w:hanging="1"/>
              <w:jc w:val="right"/>
            </w:pPr>
            <w:r>
              <w:rPr>
                <w:b w:val="0"/>
                <w:i w:val="0"/>
                <w:strike w:val="0"/>
                <w:u w:val="none"/>
              </w:rPr>
              <w:t>1,325,247.86</w:t>
            </w:r>
          </w:p>
        </w:tc>
      </w:tr>
      <w:tr w14:paraId="0195F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2BB05D8">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47A9E529">
            <w:pPr>
              <w:ind w:hanging="1"/>
              <w:jc w:val="right"/>
            </w:pPr>
            <w:r>
              <w:rPr>
                <w:b w:val="0"/>
                <w:i w:val="0"/>
                <w:strike w:val="0"/>
                <w:u w:val="none"/>
              </w:rPr>
              <w:t>237,781,687.11</w:t>
            </w:r>
          </w:p>
        </w:tc>
      </w:tr>
      <w:tr w14:paraId="7A240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10C6739">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7093F043">
            <w:pPr>
              <w:ind w:hanging="1"/>
              <w:jc w:val="right"/>
            </w:pPr>
            <w:r>
              <w:rPr>
                <w:b w:val="0"/>
                <w:i w:val="0"/>
                <w:strike w:val="0"/>
                <w:u w:val="none"/>
              </w:rPr>
              <w:t>1.0065</w:t>
            </w:r>
          </w:p>
        </w:tc>
      </w:tr>
      <w:tr w14:paraId="2F71A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0CA08FD">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10FC1DCD">
            <w:pPr>
              <w:jc w:val="right"/>
              <w:rPr>
                <w:rFonts w:hint="eastAsia"/>
                <w:lang w:val="en-US" w:eastAsia="zh-CN"/>
              </w:rPr>
            </w:pPr>
            <w:r>
              <w:rPr>
                <w:rFonts w:hint="eastAsia"/>
              </w:rPr>
              <w:t>1.1342</w:t>
            </w:r>
          </w:p>
        </w:tc>
      </w:tr>
      <w:tr w14:paraId="56CEA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835CDAB">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0CB4AC8B">
            <w:pPr>
              <w:jc w:val="right"/>
              <w:rPr>
                <w:rFonts w:hint="eastAsia"/>
                <w:lang w:val="en-US" w:eastAsia="zh-CN"/>
              </w:rPr>
            </w:pPr>
            <w:r>
              <w:rPr>
                <w:rFonts w:hint="eastAsia"/>
              </w:rPr>
              <w:t>237,781,687.11</w:t>
            </w:r>
          </w:p>
        </w:tc>
      </w:tr>
      <w:tr w14:paraId="08B75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1DCF7C4">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6546D59B">
            <w:pPr>
              <w:jc w:val="right"/>
              <w:rPr>
                <w:rFonts w:hint="eastAsia"/>
                <w:lang w:val="en-US" w:eastAsia="zh-CN"/>
              </w:rPr>
            </w:pPr>
            <w:r>
              <w:rPr>
                <w:rFonts w:hint="eastAsia"/>
              </w:rPr>
              <w:t>1.0065</w:t>
            </w:r>
          </w:p>
        </w:tc>
      </w:tr>
      <w:tr w14:paraId="7AE74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7D46290">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255754D8">
            <w:pPr>
              <w:jc w:val="right"/>
              <w:rPr>
                <w:rFonts w:hint="eastAsia"/>
                <w:lang w:val="en-US" w:eastAsia="zh-CN"/>
              </w:rPr>
            </w:pPr>
            <w:r>
              <w:rPr>
                <w:rFonts w:hint="eastAsia"/>
              </w:rPr>
              <w:t>1.1342</w:t>
            </w:r>
          </w:p>
        </w:tc>
      </w:tr>
    </w:tbl>
    <w:p w14:paraId="204E2A43">
      <w:pPr>
        <w:tabs>
          <w:tab w:val="left" w:pos="3135"/>
        </w:tabs>
        <w:ind w:left="420" w:leftChars="200"/>
      </w:pPr>
    </w:p>
    <w:p w14:paraId="44C7300D">
      <w:pPr>
        <w:pStyle w:val="40"/>
      </w:pPr>
      <w:r>
        <w:rPr>
          <w:rFonts w:hint="eastAsia"/>
        </w:rPr>
        <w:t>投资组合情况及</w:t>
      </w:r>
      <w:r>
        <w:t>流动性风险分析</w:t>
      </w:r>
    </w:p>
    <w:p w14:paraId="755CD54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D050BC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E8B8C2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1C719D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51ABEA4">
      <w:pPr>
        <w:pStyle w:val="41"/>
        <w:spacing w:before="156" w:after="156"/>
      </w:pPr>
      <w:r>
        <w:rPr>
          <w:rFonts w:hint="eastAsia"/>
          <w:b w:val="0"/>
        </w:rPr>
        <w:t>期末资产组合情况</w:t>
      </w:r>
    </w:p>
    <w:p w14:paraId="68802F14">
      <w:pPr>
        <w:jc w:val="right"/>
      </w:pPr>
    </w:p>
    <w:p w14:paraId="4AF77FA4">
      <w:pPr>
        <w:jc w:val="right"/>
      </w:pPr>
    </w:p>
    <w:p w14:paraId="46D85DCC">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44476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5AE445B0">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06615631">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157C9298">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441C532B">
            <w:pPr>
              <w:jc w:val="center"/>
              <w:rPr>
                <w:rFonts w:ascii="宋体" w:hAnsi="宋体"/>
                <w:b/>
                <w:szCs w:val="21"/>
              </w:rPr>
            </w:pPr>
            <w:r>
              <w:rPr>
                <w:rFonts w:hint="eastAsia" w:ascii="宋体" w:hAnsi="宋体"/>
                <w:b/>
                <w:szCs w:val="21"/>
              </w:rPr>
              <w:t>间接</w:t>
            </w:r>
            <w:r>
              <w:rPr>
                <w:rFonts w:ascii="宋体" w:hAnsi="宋体"/>
                <w:b/>
                <w:szCs w:val="21"/>
              </w:rPr>
              <w:t>投资</w:t>
            </w:r>
          </w:p>
        </w:tc>
      </w:tr>
      <w:tr w14:paraId="258F2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05BB5F5F">
            <w:pPr>
              <w:jc w:val="center"/>
              <w:rPr>
                <w:rFonts w:ascii="宋体" w:hAnsi="宋体"/>
                <w:b/>
                <w:szCs w:val="21"/>
              </w:rPr>
            </w:pPr>
          </w:p>
        </w:tc>
        <w:tc>
          <w:tcPr>
            <w:tcW w:w="1447" w:type="dxa"/>
            <w:vMerge w:val="continue"/>
            <w:shd w:val="clear" w:color="auto" w:fill="D9D9D9"/>
            <w:vAlign w:val="center"/>
          </w:tcPr>
          <w:p w14:paraId="6424B63D">
            <w:pPr>
              <w:jc w:val="center"/>
              <w:rPr>
                <w:rFonts w:ascii="宋体" w:hAnsi="宋体"/>
                <w:b/>
                <w:szCs w:val="21"/>
              </w:rPr>
            </w:pPr>
          </w:p>
        </w:tc>
        <w:tc>
          <w:tcPr>
            <w:tcW w:w="1697" w:type="dxa"/>
            <w:shd w:val="clear" w:color="auto" w:fill="D9D9D9"/>
            <w:vAlign w:val="center"/>
          </w:tcPr>
          <w:p w14:paraId="3D85C806">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53BC3BEA">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55443548">
            <w:pPr>
              <w:jc w:val="center"/>
              <w:rPr>
                <w:rFonts w:ascii="宋体" w:hAnsi="宋体"/>
                <w:b/>
                <w:szCs w:val="21"/>
              </w:rPr>
            </w:pPr>
            <w:r>
              <w:rPr>
                <w:rFonts w:hint="eastAsia" w:ascii="宋体" w:hAnsi="宋体"/>
                <w:b/>
                <w:szCs w:val="21"/>
              </w:rPr>
              <w:t>金额</w:t>
            </w:r>
          </w:p>
        </w:tc>
        <w:tc>
          <w:tcPr>
            <w:tcW w:w="1705" w:type="dxa"/>
            <w:shd w:val="clear" w:color="auto" w:fill="D9D9D9"/>
          </w:tcPr>
          <w:p w14:paraId="66A2AA5F">
            <w:pPr>
              <w:jc w:val="center"/>
              <w:rPr>
                <w:rFonts w:ascii="宋体" w:hAnsi="宋体"/>
                <w:b/>
                <w:szCs w:val="21"/>
              </w:rPr>
            </w:pPr>
            <w:r>
              <w:rPr>
                <w:rFonts w:hint="eastAsia" w:ascii="宋体" w:hAnsi="宋体"/>
                <w:b/>
                <w:szCs w:val="21"/>
              </w:rPr>
              <w:t>占产品总资产的比例（%）</w:t>
            </w:r>
          </w:p>
        </w:tc>
      </w:tr>
      <w:tr w14:paraId="5D7DF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FF3C54D">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2F51C1B6">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1FA15CE3">
            <w:pPr>
              <w:jc w:val="right"/>
            </w:pPr>
            <w:r>
              <w:t>0.00</w:t>
            </w:r>
          </w:p>
        </w:tc>
        <w:tc>
          <w:tcPr>
            <w:tcW w:w="1749" w:type="dxa"/>
            <w:shd w:val="clear" w:color="auto" w:fill="auto"/>
            <w:vAlign w:val="center"/>
          </w:tcPr>
          <w:p w14:paraId="4B0BD2AF">
            <w:pPr>
              <w:jc w:val="right"/>
            </w:pPr>
            <w:r>
              <w:t>0.00</w:t>
            </w:r>
          </w:p>
        </w:tc>
        <w:tc>
          <w:tcPr>
            <w:tcW w:w="1653" w:type="dxa"/>
            <w:vAlign w:val="center"/>
          </w:tcPr>
          <w:p w14:paraId="73A3AA97">
            <w:pPr>
              <w:jc w:val="right"/>
            </w:pPr>
            <w:r>
              <w:t>0.00</w:t>
            </w:r>
          </w:p>
        </w:tc>
        <w:tc>
          <w:tcPr>
            <w:tcW w:w="1705" w:type="dxa"/>
            <w:vAlign w:val="center"/>
          </w:tcPr>
          <w:p w14:paraId="067EF460">
            <w:pPr>
              <w:jc w:val="right"/>
            </w:pPr>
            <w:r>
              <w:t>0.00</w:t>
            </w:r>
          </w:p>
        </w:tc>
      </w:tr>
      <w:tr w14:paraId="22EDF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A4689D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9E734E0">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171569ED">
            <w:pPr>
              <w:jc w:val="right"/>
            </w:pPr>
            <w:r>
              <w:t>0.00</w:t>
            </w:r>
          </w:p>
        </w:tc>
        <w:tc>
          <w:tcPr>
            <w:tcW w:w="1749" w:type="dxa"/>
            <w:shd w:val="clear" w:color="auto" w:fill="auto"/>
            <w:vAlign w:val="center"/>
          </w:tcPr>
          <w:p w14:paraId="26573035">
            <w:pPr>
              <w:jc w:val="right"/>
            </w:pPr>
            <w:r>
              <w:t>0.00</w:t>
            </w:r>
          </w:p>
        </w:tc>
        <w:tc>
          <w:tcPr>
            <w:tcW w:w="1653" w:type="dxa"/>
            <w:vAlign w:val="center"/>
          </w:tcPr>
          <w:p w14:paraId="05099326">
            <w:pPr>
              <w:jc w:val="right"/>
            </w:pPr>
            <w:r>
              <w:t>0.00</w:t>
            </w:r>
          </w:p>
        </w:tc>
        <w:tc>
          <w:tcPr>
            <w:tcW w:w="1705" w:type="dxa"/>
            <w:vAlign w:val="center"/>
          </w:tcPr>
          <w:p w14:paraId="33F5A6B3">
            <w:pPr>
              <w:jc w:val="right"/>
            </w:pPr>
            <w:r>
              <w:t>0.00</w:t>
            </w:r>
          </w:p>
        </w:tc>
      </w:tr>
      <w:tr w14:paraId="36C7E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551AE1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41C986B">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2703D12C">
            <w:pPr>
              <w:jc w:val="right"/>
            </w:pPr>
          </w:p>
        </w:tc>
        <w:tc>
          <w:tcPr>
            <w:tcW w:w="1749" w:type="dxa"/>
            <w:shd w:val="clear" w:color="auto" w:fill="auto"/>
            <w:vAlign w:val="center"/>
          </w:tcPr>
          <w:p w14:paraId="436E441B">
            <w:pPr>
              <w:jc w:val="right"/>
            </w:pPr>
          </w:p>
        </w:tc>
        <w:tc>
          <w:tcPr>
            <w:tcW w:w="1653" w:type="dxa"/>
            <w:vAlign w:val="center"/>
          </w:tcPr>
          <w:p w14:paraId="4E78569A">
            <w:pPr>
              <w:jc w:val="right"/>
            </w:pPr>
          </w:p>
        </w:tc>
        <w:tc>
          <w:tcPr>
            <w:tcW w:w="1705" w:type="dxa"/>
            <w:vAlign w:val="center"/>
          </w:tcPr>
          <w:p w14:paraId="36F259A2">
            <w:pPr>
              <w:jc w:val="right"/>
            </w:pPr>
          </w:p>
        </w:tc>
      </w:tr>
      <w:tr w14:paraId="1D447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A863BE3">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4974649A">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228E2A5B">
            <w:pPr>
              <w:jc w:val="right"/>
            </w:pPr>
            <w:r>
              <w:t>0.00</w:t>
            </w:r>
          </w:p>
        </w:tc>
        <w:tc>
          <w:tcPr>
            <w:tcW w:w="1749" w:type="dxa"/>
            <w:shd w:val="clear" w:color="auto" w:fill="auto"/>
            <w:vAlign w:val="center"/>
          </w:tcPr>
          <w:p w14:paraId="305B83C7">
            <w:pPr>
              <w:jc w:val="right"/>
            </w:pPr>
            <w:r>
              <w:t>0.00</w:t>
            </w:r>
          </w:p>
        </w:tc>
        <w:tc>
          <w:tcPr>
            <w:tcW w:w="1653" w:type="dxa"/>
            <w:vAlign w:val="center"/>
          </w:tcPr>
          <w:p w14:paraId="222CAE01">
            <w:pPr>
              <w:jc w:val="right"/>
            </w:pPr>
            <w:r>
              <w:t>0.00</w:t>
            </w:r>
          </w:p>
        </w:tc>
        <w:tc>
          <w:tcPr>
            <w:tcW w:w="1705" w:type="dxa"/>
            <w:vAlign w:val="center"/>
          </w:tcPr>
          <w:p w14:paraId="7C0D141D">
            <w:pPr>
              <w:jc w:val="right"/>
            </w:pPr>
            <w:r>
              <w:t>0.00</w:t>
            </w:r>
          </w:p>
        </w:tc>
      </w:tr>
      <w:tr w14:paraId="6D101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BDE973F">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545316E4">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28B4FE38">
            <w:pPr>
              <w:jc w:val="right"/>
            </w:pPr>
            <w:r>
              <w:t>125,276,485.96</w:t>
            </w:r>
          </w:p>
        </w:tc>
        <w:tc>
          <w:tcPr>
            <w:tcW w:w="1749" w:type="dxa"/>
            <w:shd w:val="clear" w:color="auto" w:fill="auto"/>
            <w:vAlign w:val="center"/>
          </w:tcPr>
          <w:p w14:paraId="401B52EC">
            <w:pPr>
              <w:jc w:val="right"/>
            </w:pPr>
            <w:r>
              <w:t>52.32</w:t>
            </w:r>
          </w:p>
        </w:tc>
        <w:tc>
          <w:tcPr>
            <w:tcW w:w="1653" w:type="dxa"/>
            <w:vAlign w:val="center"/>
          </w:tcPr>
          <w:p w14:paraId="634422F3">
            <w:pPr>
              <w:jc w:val="right"/>
            </w:pPr>
            <w:r>
              <w:t>0.00</w:t>
            </w:r>
          </w:p>
        </w:tc>
        <w:tc>
          <w:tcPr>
            <w:tcW w:w="1705" w:type="dxa"/>
            <w:vAlign w:val="center"/>
          </w:tcPr>
          <w:p w14:paraId="5877C4A5">
            <w:pPr>
              <w:jc w:val="right"/>
            </w:pPr>
            <w:r>
              <w:t>0.00</w:t>
            </w:r>
          </w:p>
        </w:tc>
      </w:tr>
      <w:tr w14:paraId="1D7A8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B572B4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7C137A86">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2726D6A1">
            <w:pPr>
              <w:jc w:val="right"/>
            </w:pPr>
            <w:r>
              <w:t>125,276,485.96</w:t>
            </w:r>
          </w:p>
        </w:tc>
        <w:tc>
          <w:tcPr>
            <w:tcW w:w="1749" w:type="dxa"/>
            <w:shd w:val="clear" w:color="auto" w:fill="auto"/>
            <w:vAlign w:val="center"/>
          </w:tcPr>
          <w:p w14:paraId="3F8E67ED">
            <w:pPr>
              <w:jc w:val="right"/>
            </w:pPr>
            <w:r>
              <w:t>52.32</w:t>
            </w:r>
          </w:p>
        </w:tc>
        <w:tc>
          <w:tcPr>
            <w:tcW w:w="1653" w:type="dxa"/>
            <w:vAlign w:val="center"/>
          </w:tcPr>
          <w:p w14:paraId="2067231C">
            <w:pPr>
              <w:jc w:val="right"/>
            </w:pPr>
            <w:r>
              <w:t>0.00</w:t>
            </w:r>
          </w:p>
        </w:tc>
        <w:tc>
          <w:tcPr>
            <w:tcW w:w="1705" w:type="dxa"/>
            <w:vAlign w:val="center"/>
          </w:tcPr>
          <w:p w14:paraId="29E0C185">
            <w:pPr>
              <w:jc w:val="right"/>
            </w:pPr>
            <w:r>
              <w:t>0.00</w:t>
            </w:r>
          </w:p>
        </w:tc>
      </w:tr>
      <w:tr w14:paraId="603AC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156B60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03ED191E">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67C7E507">
            <w:pPr>
              <w:jc w:val="right"/>
            </w:pPr>
            <w:r>
              <w:t>0.00</w:t>
            </w:r>
          </w:p>
        </w:tc>
        <w:tc>
          <w:tcPr>
            <w:tcW w:w="1749" w:type="dxa"/>
            <w:shd w:val="clear" w:color="auto" w:fill="auto"/>
            <w:vAlign w:val="center"/>
          </w:tcPr>
          <w:p w14:paraId="51AF859D">
            <w:pPr>
              <w:jc w:val="right"/>
            </w:pPr>
            <w:r>
              <w:t>0.00</w:t>
            </w:r>
          </w:p>
        </w:tc>
        <w:tc>
          <w:tcPr>
            <w:tcW w:w="1653" w:type="dxa"/>
            <w:vAlign w:val="center"/>
          </w:tcPr>
          <w:p w14:paraId="65004DFA">
            <w:pPr>
              <w:jc w:val="right"/>
            </w:pPr>
            <w:r>
              <w:t>0.00</w:t>
            </w:r>
          </w:p>
        </w:tc>
        <w:tc>
          <w:tcPr>
            <w:tcW w:w="1705" w:type="dxa"/>
            <w:vAlign w:val="center"/>
          </w:tcPr>
          <w:p w14:paraId="28156074">
            <w:pPr>
              <w:jc w:val="right"/>
            </w:pPr>
            <w:r>
              <w:t>0.00</w:t>
            </w:r>
          </w:p>
        </w:tc>
      </w:tr>
      <w:tr w14:paraId="3A1D5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9CB9224">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63AC5169">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2204F883">
            <w:pPr>
              <w:jc w:val="right"/>
            </w:pPr>
            <w:r>
              <w:t>0.00</w:t>
            </w:r>
          </w:p>
        </w:tc>
        <w:tc>
          <w:tcPr>
            <w:tcW w:w="1749" w:type="dxa"/>
            <w:shd w:val="clear" w:color="auto" w:fill="auto"/>
            <w:vAlign w:val="center"/>
          </w:tcPr>
          <w:p w14:paraId="0889FC75">
            <w:pPr>
              <w:jc w:val="right"/>
            </w:pPr>
            <w:r>
              <w:t>0.00</w:t>
            </w:r>
          </w:p>
        </w:tc>
        <w:tc>
          <w:tcPr>
            <w:tcW w:w="1653" w:type="dxa"/>
            <w:vAlign w:val="center"/>
          </w:tcPr>
          <w:p w14:paraId="37FCFEDF">
            <w:pPr>
              <w:jc w:val="right"/>
            </w:pPr>
            <w:r>
              <w:t>0.00</w:t>
            </w:r>
          </w:p>
        </w:tc>
        <w:tc>
          <w:tcPr>
            <w:tcW w:w="1705" w:type="dxa"/>
            <w:vAlign w:val="center"/>
          </w:tcPr>
          <w:p w14:paraId="7EF877C7">
            <w:pPr>
              <w:jc w:val="right"/>
            </w:pPr>
            <w:r>
              <w:t>0.00</w:t>
            </w:r>
          </w:p>
        </w:tc>
      </w:tr>
      <w:tr w14:paraId="332DF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98DAA5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55642BF">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5F34C17A">
            <w:pPr>
              <w:jc w:val="right"/>
            </w:pPr>
          </w:p>
        </w:tc>
        <w:tc>
          <w:tcPr>
            <w:tcW w:w="1749" w:type="dxa"/>
            <w:shd w:val="clear" w:color="auto" w:fill="auto"/>
            <w:vAlign w:val="center"/>
          </w:tcPr>
          <w:p w14:paraId="5AEC9E73">
            <w:pPr>
              <w:jc w:val="right"/>
            </w:pPr>
          </w:p>
        </w:tc>
        <w:tc>
          <w:tcPr>
            <w:tcW w:w="1653" w:type="dxa"/>
            <w:vAlign w:val="center"/>
          </w:tcPr>
          <w:p w14:paraId="45F9389C">
            <w:pPr>
              <w:jc w:val="right"/>
            </w:pPr>
          </w:p>
        </w:tc>
        <w:tc>
          <w:tcPr>
            <w:tcW w:w="1705" w:type="dxa"/>
            <w:vAlign w:val="center"/>
          </w:tcPr>
          <w:p w14:paraId="09266D33">
            <w:pPr>
              <w:jc w:val="right"/>
            </w:pPr>
          </w:p>
        </w:tc>
      </w:tr>
      <w:tr w14:paraId="00871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CF3C5C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DEF7543">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25703148">
            <w:pPr>
              <w:jc w:val="right"/>
            </w:pPr>
          </w:p>
        </w:tc>
        <w:tc>
          <w:tcPr>
            <w:tcW w:w="1749" w:type="dxa"/>
            <w:shd w:val="clear" w:color="auto" w:fill="auto"/>
            <w:vAlign w:val="center"/>
          </w:tcPr>
          <w:p w14:paraId="65900ACE">
            <w:pPr>
              <w:jc w:val="right"/>
            </w:pPr>
          </w:p>
        </w:tc>
        <w:tc>
          <w:tcPr>
            <w:tcW w:w="1653" w:type="dxa"/>
            <w:vAlign w:val="center"/>
          </w:tcPr>
          <w:p w14:paraId="1118D8C4">
            <w:pPr>
              <w:jc w:val="right"/>
            </w:pPr>
          </w:p>
        </w:tc>
        <w:tc>
          <w:tcPr>
            <w:tcW w:w="1705" w:type="dxa"/>
            <w:vAlign w:val="center"/>
          </w:tcPr>
          <w:p w14:paraId="136BA506">
            <w:pPr>
              <w:jc w:val="right"/>
            </w:pPr>
          </w:p>
        </w:tc>
      </w:tr>
      <w:tr w14:paraId="2963C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43DE832">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7A272A41">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7777C32F">
            <w:pPr>
              <w:jc w:val="right"/>
            </w:pPr>
            <w:r>
              <w:t>0.00</w:t>
            </w:r>
          </w:p>
        </w:tc>
        <w:tc>
          <w:tcPr>
            <w:tcW w:w="1749" w:type="dxa"/>
            <w:shd w:val="clear" w:color="auto" w:fill="auto"/>
            <w:vAlign w:val="center"/>
          </w:tcPr>
          <w:p w14:paraId="12F18B3B">
            <w:pPr>
              <w:jc w:val="right"/>
            </w:pPr>
            <w:r>
              <w:t>0.00</w:t>
            </w:r>
          </w:p>
        </w:tc>
        <w:tc>
          <w:tcPr>
            <w:tcW w:w="1653" w:type="dxa"/>
            <w:vAlign w:val="center"/>
          </w:tcPr>
          <w:p w14:paraId="61979ED8">
            <w:pPr>
              <w:jc w:val="right"/>
            </w:pPr>
            <w:r>
              <w:t>0.00</w:t>
            </w:r>
          </w:p>
        </w:tc>
        <w:tc>
          <w:tcPr>
            <w:tcW w:w="1705" w:type="dxa"/>
            <w:vAlign w:val="center"/>
          </w:tcPr>
          <w:p w14:paraId="0159D694">
            <w:pPr>
              <w:jc w:val="right"/>
            </w:pPr>
            <w:r>
              <w:t>0.00</w:t>
            </w:r>
          </w:p>
        </w:tc>
      </w:tr>
      <w:tr w14:paraId="56A9C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AFA365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AB08419">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16C03799">
            <w:pPr>
              <w:jc w:val="right"/>
            </w:pPr>
          </w:p>
        </w:tc>
        <w:tc>
          <w:tcPr>
            <w:tcW w:w="1749" w:type="dxa"/>
            <w:shd w:val="clear" w:color="auto" w:fill="auto"/>
            <w:vAlign w:val="center"/>
          </w:tcPr>
          <w:p w14:paraId="2C17EA31">
            <w:pPr>
              <w:jc w:val="right"/>
            </w:pPr>
          </w:p>
        </w:tc>
        <w:tc>
          <w:tcPr>
            <w:tcW w:w="1653" w:type="dxa"/>
            <w:vAlign w:val="center"/>
          </w:tcPr>
          <w:p w14:paraId="4A806846">
            <w:pPr>
              <w:jc w:val="right"/>
            </w:pPr>
          </w:p>
        </w:tc>
        <w:tc>
          <w:tcPr>
            <w:tcW w:w="1705" w:type="dxa"/>
            <w:vAlign w:val="center"/>
          </w:tcPr>
          <w:p w14:paraId="7EC8434F">
            <w:pPr>
              <w:jc w:val="right"/>
            </w:pPr>
          </w:p>
        </w:tc>
      </w:tr>
      <w:tr w14:paraId="32497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3CD52DB">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119250E8">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562C0E65">
            <w:pPr>
              <w:jc w:val="right"/>
            </w:pPr>
            <w:r>
              <w:t>94,024,441.08</w:t>
            </w:r>
          </w:p>
        </w:tc>
        <w:tc>
          <w:tcPr>
            <w:tcW w:w="1749" w:type="dxa"/>
            <w:shd w:val="clear" w:color="auto" w:fill="auto"/>
            <w:vAlign w:val="center"/>
          </w:tcPr>
          <w:p w14:paraId="6C5580C6">
            <w:pPr>
              <w:jc w:val="right"/>
            </w:pPr>
            <w:r>
              <w:t>39.27</w:t>
            </w:r>
          </w:p>
        </w:tc>
        <w:tc>
          <w:tcPr>
            <w:tcW w:w="1653" w:type="dxa"/>
            <w:vAlign w:val="center"/>
          </w:tcPr>
          <w:p w14:paraId="1FC5DEF9">
            <w:pPr>
              <w:jc w:val="right"/>
            </w:pPr>
            <w:r>
              <w:t>0.00</w:t>
            </w:r>
          </w:p>
        </w:tc>
        <w:tc>
          <w:tcPr>
            <w:tcW w:w="1705" w:type="dxa"/>
            <w:vAlign w:val="center"/>
          </w:tcPr>
          <w:p w14:paraId="21F55D6A">
            <w:pPr>
              <w:jc w:val="right"/>
            </w:pPr>
            <w:r>
              <w:t>0.00</w:t>
            </w:r>
          </w:p>
        </w:tc>
      </w:tr>
      <w:tr w14:paraId="15E72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C9B3D5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7817FB4">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455C9E28">
            <w:pPr>
              <w:jc w:val="right"/>
            </w:pPr>
            <w:r>
              <w:t>0.00</w:t>
            </w:r>
          </w:p>
        </w:tc>
        <w:tc>
          <w:tcPr>
            <w:tcW w:w="1749" w:type="dxa"/>
            <w:shd w:val="clear" w:color="auto" w:fill="auto"/>
            <w:vAlign w:val="center"/>
          </w:tcPr>
          <w:p w14:paraId="007A4CD2">
            <w:pPr>
              <w:jc w:val="right"/>
            </w:pPr>
            <w:r>
              <w:t>0.00</w:t>
            </w:r>
          </w:p>
        </w:tc>
        <w:tc>
          <w:tcPr>
            <w:tcW w:w="1653" w:type="dxa"/>
            <w:vAlign w:val="center"/>
          </w:tcPr>
          <w:p w14:paraId="4FF82A4E">
            <w:pPr>
              <w:jc w:val="right"/>
            </w:pPr>
            <w:r>
              <w:t>0.00</w:t>
            </w:r>
          </w:p>
        </w:tc>
        <w:tc>
          <w:tcPr>
            <w:tcW w:w="1705" w:type="dxa"/>
            <w:vAlign w:val="center"/>
          </w:tcPr>
          <w:p w14:paraId="57C70488">
            <w:pPr>
              <w:jc w:val="right"/>
            </w:pPr>
            <w:r>
              <w:t>0.00</w:t>
            </w:r>
          </w:p>
        </w:tc>
      </w:tr>
      <w:tr w14:paraId="4E703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6C7F445">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454742C0">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7AFEE09F">
            <w:pPr>
              <w:jc w:val="right"/>
            </w:pPr>
          </w:p>
        </w:tc>
        <w:tc>
          <w:tcPr>
            <w:tcW w:w="1749" w:type="dxa"/>
            <w:shd w:val="clear" w:color="auto" w:fill="auto"/>
            <w:vAlign w:val="center"/>
          </w:tcPr>
          <w:p w14:paraId="68903633">
            <w:pPr>
              <w:jc w:val="right"/>
            </w:pPr>
          </w:p>
        </w:tc>
        <w:tc>
          <w:tcPr>
            <w:tcW w:w="1653" w:type="dxa"/>
            <w:vAlign w:val="center"/>
          </w:tcPr>
          <w:p w14:paraId="5DFAF690">
            <w:pPr>
              <w:jc w:val="right"/>
            </w:pPr>
          </w:p>
        </w:tc>
        <w:tc>
          <w:tcPr>
            <w:tcW w:w="1705" w:type="dxa"/>
            <w:vAlign w:val="center"/>
          </w:tcPr>
          <w:p w14:paraId="780CAAD8">
            <w:pPr>
              <w:jc w:val="right"/>
            </w:pPr>
          </w:p>
        </w:tc>
      </w:tr>
      <w:tr w14:paraId="4CA19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D945782">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582C26DF">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606D966C">
            <w:pPr>
              <w:jc w:val="right"/>
            </w:pPr>
            <w:r>
              <w:t>20,030,385.25</w:t>
            </w:r>
          </w:p>
        </w:tc>
        <w:tc>
          <w:tcPr>
            <w:tcW w:w="1749" w:type="dxa"/>
            <w:shd w:val="clear" w:color="auto" w:fill="auto"/>
            <w:vAlign w:val="center"/>
          </w:tcPr>
          <w:p w14:paraId="0259FE24">
            <w:pPr>
              <w:jc w:val="right"/>
            </w:pPr>
            <w:r>
              <w:t>8.37</w:t>
            </w:r>
          </w:p>
        </w:tc>
        <w:tc>
          <w:tcPr>
            <w:tcW w:w="1653" w:type="dxa"/>
            <w:vAlign w:val="center"/>
          </w:tcPr>
          <w:p w14:paraId="5C80282B">
            <w:pPr>
              <w:jc w:val="right"/>
            </w:pPr>
            <w:r>
              <w:t>0.00</w:t>
            </w:r>
          </w:p>
        </w:tc>
        <w:tc>
          <w:tcPr>
            <w:tcW w:w="1705" w:type="dxa"/>
            <w:vAlign w:val="center"/>
          </w:tcPr>
          <w:p w14:paraId="6E9CD3CB">
            <w:pPr>
              <w:jc w:val="right"/>
            </w:pPr>
            <w:r>
              <w:t>0.00</w:t>
            </w:r>
          </w:p>
        </w:tc>
      </w:tr>
      <w:tr w14:paraId="7AC50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E5BD932">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3871B481">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631CE4B9">
            <w:pPr>
              <w:jc w:val="right"/>
            </w:pPr>
            <w:r>
              <w:t>0.00</w:t>
            </w:r>
          </w:p>
        </w:tc>
        <w:tc>
          <w:tcPr>
            <w:tcW w:w="1749" w:type="dxa"/>
            <w:shd w:val="clear" w:color="auto" w:fill="auto"/>
            <w:vAlign w:val="center"/>
          </w:tcPr>
          <w:p w14:paraId="7A8DDCD5">
            <w:pPr>
              <w:jc w:val="right"/>
            </w:pPr>
            <w:r>
              <w:t>0.00</w:t>
            </w:r>
          </w:p>
        </w:tc>
        <w:tc>
          <w:tcPr>
            <w:tcW w:w="1653" w:type="dxa"/>
            <w:vAlign w:val="center"/>
          </w:tcPr>
          <w:p w14:paraId="2BCBC977">
            <w:pPr>
              <w:jc w:val="right"/>
            </w:pPr>
            <w:r>
              <w:t>0.00</w:t>
            </w:r>
          </w:p>
        </w:tc>
        <w:tc>
          <w:tcPr>
            <w:tcW w:w="1705" w:type="dxa"/>
            <w:vAlign w:val="center"/>
          </w:tcPr>
          <w:p w14:paraId="38F57B72">
            <w:pPr>
              <w:jc w:val="right"/>
            </w:pPr>
            <w:r>
              <w:t>0.00</w:t>
            </w:r>
          </w:p>
        </w:tc>
      </w:tr>
      <w:tr w14:paraId="43283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201BA18">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2349B9DD">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53F94D83">
            <w:pPr>
              <w:jc w:val="right"/>
            </w:pPr>
            <w:r>
              <w:t>0.00</w:t>
            </w:r>
          </w:p>
        </w:tc>
        <w:tc>
          <w:tcPr>
            <w:tcW w:w="1749" w:type="dxa"/>
            <w:shd w:val="clear" w:color="auto" w:fill="auto"/>
            <w:vAlign w:val="center"/>
          </w:tcPr>
          <w:p w14:paraId="4DAAF55E">
            <w:pPr>
              <w:jc w:val="right"/>
            </w:pPr>
            <w:r>
              <w:t>0.00</w:t>
            </w:r>
          </w:p>
        </w:tc>
        <w:tc>
          <w:tcPr>
            <w:tcW w:w="1653" w:type="dxa"/>
            <w:vAlign w:val="center"/>
          </w:tcPr>
          <w:p w14:paraId="6105214F">
            <w:pPr>
              <w:jc w:val="right"/>
            </w:pPr>
            <w:r>
              <w:t>0.00</w:t>
            </w:r>
          </w:p>
        </w:tc>
        <w:tc>
          <w:tcPr>
            <w:tcW w:w="1705" w:type="dxa"/>
            <w:vAlign w:val="center"/>
          </w:tcPr>
          <w:p w14:paraId="0CFC95B8">
            <w:pPr>
              <w:jc w:val="right"/>
            </w:pPr>
            <w:r>
              <w:t>0.00</w:t>
            </w:r>
          </w:p>
        </w:tc>
      </w:tr>
      <w:tr w14:paraId="03B5D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FBB5823">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0878A0D5">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2D29B59A">
            <w:pPr>
              <w:jc w:val="right"/>
            </w:pPr>
            <w:r>
              <w:t>109,509.78</w:t>
            </w:r>
          </w:p>
        </w:tc>
        <w:tc>
          <w:tcPr>
            <w:tcW w:w="1749" w:type="dxa"/>
            <w:shd w:val="clear" w:color="auto" w:fill="auto"/>
            <w:vAlign w:val="center"/>
          </w:tcPr>
          <w:p w14:paraId="44A38C8B">
            <w:pPr>
              <w:jc w:val="right"/>
            </w:pPr>
            <w:r>
              <w:t>0.05</w:t>
            </w:r>
          </w:p>
        </w:tc>
        <w:tc>
          <w:tcPr>
            <w:tcW w:w="1653" w:type="dxa"/>
            <w:vAlign w:val="center"/>
          </w:tcPr>
          <w:p w14:paraId="0CB61E65">
            <w:pPr>
              <w:jc w:val="right"/>
            </w:pPr>
            <w:r>
              <w:t>0.00</w:t>
            </w:r>
          </w:p>
        </w:tc>
        <w:tc>
          <w:tcPr>
            <w:tcW w:w="1705" w:type="dxa"/>
            <w:vAlign w:val="center"/>
          </w:tcPr>
          <w:p w14:paraId="26BE4CA7">
            <w:pPr>
              <w:jc w:val="right"/>
            </w:pPr>
            <w:r>
              <w:t>0.00</w:t>
            </w:r>
          </w:p>
        </w:tc>
      </w:tr>
      <w:tr w14:paraId="559BD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78E2ED5D">
            <w:pPr>
              <w:jc w:val="left"/>
              <w:rPr>
                <w:rFonts w:ascii="宋体" w:hAnsi="宋体"/>
                <w:szCs w:val="21"/>
              </w:rPr>
            </w:pPr>
          </w:p>
        </w:tc>
        <w:tc>
          <w:tcPr>
            <w:tcW w:w="1447" w:type="dxa"/>
            <w:shd w:val="clear" w:color="auto" w:fill="auto"/>
          </w:tcPr>
          <w:p w14:paraId="58100BB4">
            <w:pPr>
              <w:jc w:val="left"/>
              <w:rPr>
                <w:rFonts w:ascii="宋体" w:hAnsi="宋体"/>
                <w:szCs w:val="21"/>
              </w:rPr>
            </w:pPr>
            <w:r>
              <w:rPr>
                <w:rFonts w:hint="eastAsia" w:ascii="宋体" w:hAnsi="宋体"/>
                <w:szCs w:val="21"/>
              </w:rPr>
              <w:t>合计</w:t>
            </w:r>
          </w:p>
        </w:tc>
        <w:tc>
          <w:tcPr>
            <w:tcW w:w="1697" w:type="dxa"/>
            <w:shd w:val="clear" w:color="auto" w:fill="auto"/>
          </w:tcPr>
          <w:p w14:paraId="555DB728">
            <w:pPr>
              <w:jc w:val="right"/>
            </w:pPr>
            <w:r>
              <w:t>239,440,822.07</w:t>
            </w:r>
          </w:p>
        </w:tc>
        <w:tc>
          <w:tcPr>
            <w:tcW w:w="1749" w:type="dxa"/>
            <w:shd w:val="clear" w:color="auto" w:fill="auto"/>
          </w:tcPr>
          <w:p w14:paraId="0445E051">
            <w:pPr>
              <w:jc w:val="right"/>
            </w:pPr>
            <w:r>
              <w:t>100.00</w:t>
            </w:r>
          </w:p>
        </w:tc>
        <w:tc>
          <w:tcPr>
            <w:tcW w:w="1653" w:type="dxa"/>
          </w:tcPr>
          <w:p w14:paraId="3C542581">
            <w:pPr>
              <w:jc w:val="right"/>
            </w:pPr>
            <w:r>
              <w:t>0.00</w:t>
            </w:r>
          </w:p>
        </w:tc>
        <w:tc>
          <w:tcPr>
            <w:tcW w:w="1705" w:type="dxa"/>
          </w:tcPr>
          <w:p w14:paraId="56F0ED01">
            <w:pPr>
              <w:jc w:val="right"/>
            </w:pPr>
            <w:r>
              <w:t>0.00</w:t>
            </w:r>
          </w:p>
        </w:tc>
      </w:tr>
    </w:tbl>
    <w:p w14:paraId="71745CE6">
      <w:pPr>
        <w:ind w:left="420" w:leftChars="200"/>
        <w:jc w:val="left"/>
        <w:rPr>
          <w:rFonts w:ascii="宋体" w:hAnsi="宋体"/>
          <w:sz w:val="24"/>
        </w:rPr>
      </w:pPr>
    </w:p>
    <w:p w14:paraId="79EDF021">
      <w:pPr>
        <w:ind w:left="420" w:leftChars="200"/>
        <w:jc w:val="left"/>
        <w:rPr>
          <w:rFonts w:asciiTheme="minorEastAsia" w:hAnsiTheme="minorEastAsia" w:eastAsiaTheme="minorEastAsia"/>
          <w:sz w:val="24"/>
        </w:rPr>
      </w:pPr>
    </w:p>
    <w:p w14:paraId="25D5CA33">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7C79D38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0152EF36">
      <w:pPr>
        <w:widowControl/>
        <w:jc w:val="left"/>
        <w:rPr>
          <w:rFonts w:ascii="宋体" w:hAnsi="宋体"/>
          <w:sz w:val="24"/>
        </w:rPr>
      </w:pPr>
    </w:p>
    <w:p w14:paraId="456594A8">
      <w:pPr>
        <w:pStyle w:val="41"/>
        <w:spacing w:before="156" w:after="156"/>
        <w:rPr>
          <w:b w:val="0"/>
        </w:rPr>
      </w:pPr>
      <w:r>
        <w:rPr>
          <w:rFonts w:hint="eastAsia"/>
          <w:b w:val="0"/>
        </w:rPr>
        <w:t>报告期末占资产净值比例大小排序的前十项资产</w:t>
      </w:r>
      <w:r>
        <w:rPr>
          <w:b w:val="0"/>
        </w:rPr>
        <w:t>明细</w:t>
      </w:r>
    </w:p>
    <w:p w14:paraId="783F084B">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2C450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32021DCA">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0F28ABA3">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665F3026">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66DEB096">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5A660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5AB80544">
            <w:pPr>
              <w:jc w:val="center"/>
              <w:rPr>
                <w:szCs w:val="21"/>
              </w:rPr>
            </w:pPr>
            <w:r>
              <w:rPr>
                <w:szCs w:val="21"/>
              </w:rPr>
              <w:t>1</w:t>
            </w:r>
          </w:p>
        </w:tc>
        <w:tc>
          <w:tcPr>
            <w:tcW w:w="3159" w:type="dxa"/>
            <w:shd w:val="clear" w:color="auto" w:fill="auto"/>
            <w:vAlign w:val="center"/>
          </w:tcPr>
          <w:p w14:paraId="080CCA2D">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214293A0">
            <w:pPr>
              <w:jc w:val="right"/>
            </w:pPr>
            <w:r>
              <w:t>94,024,441.08</w:t>
            </w:r>
          </w:p>
        </w:tc>
        <w:tc>
          <w:tcPr>
            <w:tcW w:w="2431" w:type="dxa"/>
            <w:shd w:val="clear" w:color="auto" w:fill="auto"/>
            <w:vAlign w:val="center"/>
          </w:tcPr>
          <w:p w14:paraId="06B3C2B8">
            <w:pPr>
              <w:jc w:val="right"/>
            </w:pPr>
            <w:bookmarkStart w:id="3" w:name="OLE_LINK6"/>
            <w:bookmarkEnd w:id="3"/>
            <w:bookmarkStart w:id="4" w:name="OLE_LINK5"/>
            <w:bookmarkEnd w:id="4"/>
            <w:r>
              <w:rPr>
                <w:rFonts w:hint="eastAsia"/>
              </w:rPr>
              <w:t>39.54</w:t>
            </w:r>
          </w:p>
        </w:tc>
      </w:tr>
      <w:tr w14:paraId="04042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84A6DD3">
            <w:pPr>
              <w:ind w:hanging="1"/>
              <w:jc w:val="center"/>
              <w:rPr>
                <w:szCs w:val="21"/>
              </w:rPr>
            </w:pPr>
            <w:r>
              <w:rPr>
                <w:b w:val="0"/>
                <w:i w:val="0"/>
                <w:strike w:val="0"/>
                <w:u w:val="none"/>
              </w:rPr>
              <w:t>2</w:t>
            </w:r>
          </w:p>
        </w:tc>
        <w:tc>
          <w:tcPr>
            <w:tcW w:w="3159" w:type="dxa"/>
            <w:shd w:val="clear" w:color="auto" w:fill="auto"/>
            <w:vAlign w:val="center"/>
          </w:tcPr>
          <w:p w14:paraId="58D1E83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26江苏银行CD110</w:t>
            </w:r>
          </w:p>
        </w:tc>
        <w:tc>
          <w:tcPr>
            <w:tcW w:w="2693" w:type="dxa"/>
            <w:shd w:val="clear" w:color="auto" w:fill="auto"/>
            <w:vAlign w:val="center"/>
          </w:tcPr>
          <w:p w14:paraId="0000D5BF">
            <w:pPr>
              <w:ind w:hanging="1"/>
              <w:jc w:val="right"/>
            </w:pPr>
            <w:r>
              <w:rPr>
                <w:b w:val="0"/>
                <w:i w:val="0"/>
                <w:strike w:val="0"/>
                <w:u w:val="none"/>
              </w:rPr>
              <w:t>19,987,700.00</w:t>
            </w:r>
          </w:p>
        </w:tc>
        <w:tc>
          <w:tcPr>
            <w:tcW w:w="2431" w:type="dxa"/>
            <w:shd w:val="clear" w:color="auto" w:fill="auto"/>
            <w:vAlign w:val="center"/>
          </w:tcPr>
          <w:p w14:paraId="2100BEAE">
            <w:pPr>
              <w:ind w:hanging="1"/>
              <w:jc w:val="right"/>
            </w:pPr>
            <w:r>
              <w:rPr>
                <w:rFonts w:hint="eastAsia"/>
                <w:b w:val="0"/>
                <w:i w:val="0"/>
                <w:strike w:val="0"/>
                <w:u w:val="none"/>
              </w:rPr>
              <w:t>8.41</w:t>
            </w:r>
          </w:p>
        </w:tc>
      </w:tr>
      <w:tr w14:paraId="4597E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7FA397D">
            <w:pPr>
              <w:ind w:hanging="1"/>
              <w:jc w:val="center"/>
              <w:rPr>
                <w:szCs w:val="21"/>
              </w:rPr>
            </w:pPr>
            <w:r>
              <w:rPr>
                <w:b w:val="0"/>
                <w:i w:val="0"/>
                <w:strike w:val="0"/>
                <w:u w:val="none"/>
              </w:rPr>
              <w:t>3</w:t>
            </w:r>
          </w:p>
        </w:tc>
        <w:tc>
          <w:tcPr>
            <w:tcW w:w="3159" w:type="dxa"/>
            <w:shd w:val="clear" w:color="auto" w:fill="auto"/>
            <w:vAlign w:val="center"/>
          </w:tcPr>
          <w:p w14:paraId="681C005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17国开10</w:t>
            </w:r>
          </w:p>
        </w:tc>
        <w:tc>
          <w:tcPr>
            <w:tcW w:w="2693" w:type="dxa"/>
            <w:shd w:val="clear" w:color="auto" w:fill="auto"/>
            <w:vAlign w:val="center"/>
          </w:tcPr>
          <w:p w14:paraId="1061E149">
            <w:pPr>
              <w:ind w:hanging="1"/>
              <w:jc w:val="right"/>
            </w:pPr>
            <w:r>
              <w:rPr>
                <w:b w:val="0"/>
                <w:i w:val="0"/>
                <w:strike w:val="0"/>
                <w:u w:val="none"/>
              </w:rPr>
              <w:t>15,449,642.47</w:t>
            </w:r>
          </w:p>
        </w:tc>
        <w:tc>
          <w:tcPr>
            <w:tcW w:w="2431" w:type="dxa"/>
            <w:shd w:val="clear" w:color="auto" w:fill="auto"/>
            <w:vAlign w:val="center"/>
          </w:tcPr>
          <w:p w14:paraId="715D5B6B">
            <w:pPr>
              <w:ind w:hanging="1"/>
              <w:jc w:val="right"/>
            </w:pPr>
            <w:r>
              <w:rPr>
                <w:rFonts w:hint="eastAsia"/>
                <w:b w:val="0"/>
                <w:i w:val="0"/>
                <w:strike w:val="0"/>
                <w:u w:val="none"/>
              </w:rPr>
              <w:t>6.50</w:t>
            </w:r>
          </w:p>
        </w:tc>
      </w:tr>
      <w:tr w14:paraId="7F767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44ACEFB">
            <w:pPr>
              <w:ind w:hanging="1"/>
              <w:jc w:val="center"/>
              <w:rPr>
                <w:szCs w:val="21"/>
              </w:rPr>
            </w:pPr>
            <w:r>
              <w:rPr>
                <w:b w:val="0"/>
                <w:i w:val="0"/>
                <w:strike w:val="0"/>
                <w:u w:val="none"/>
              </w:rPr>
              <w:t>4</w:t>
            </w:r>
          </w:p>
        </w:tc>
        <w:tc>
          <w:tcPr>
            <w:tcW w:w="3159" w:type="dxa"/>
            <w:shd w:val="clear" w:color="auto" w:fill="auto"/>
            <w:vAlign w:val="center"/>
          </w:tcPr>
          <w:p w14:paraId="3C19E38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25福建海峡银行CD131</w:t>
            </w:r>
          </w:p>
        </w:tc>
        <w:tc>
          <w:tcPr>
            <w:tcW w:w="2693" w:type="dxa"/>
            <w:shd w:val="clear" w:color="auto" w:fill="auto"/>
            <w:vAlign w:val="center"/>
          </w:tcPr>
          <w:p w14:paraId="513294B0">
            <w:pPr>
              <w:ind w:hanging="1"/>
              <w:jc w:val="right"/>
            </w:pPr>
            <w:r>
              <w:rPr>
                <w:b w:val="0"/>
                <w:i w:val="0"/>
                <w:strike w:val="0"/>
                <w:u w:val="none"/>
              </w:rPr>
              <w:t>9,997,038.25</w:t>
            </w:r>
          </w:p>
        </w:tc>
        <w:tc>
          <w:tcPr>
            <w:tcW w:w="2431" w:type="dxa"/>
            <w:shd w:val="clear" w:color="auto" w:fill="auto"/>
            <w:vAlign w:val="center"/>
          </w:tcPr>
          <w:p w14:paraId="5FD734B2">
            <w:pPr>
              <w:ind w:hanging="1"/>
              <w:jc w:val="right"/>
            </w:pPr>
            <w:r>
              <w:rPr>
                <w:rFonts w:hint="eastAsia"/>
                <w:b w:val="0"/>
                <w:i w:val="0"/>
                <w:strike w:val="0"/>
                <w:u w:val="none"/>
              </w:rPr>
              <w:t>4.20</w:t>
            </w:r>
          </w:p>
        </w:tc>
      </w:tr>
      <w:tr w14:paraId="45ABE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0A30419">
            <w:pPr>
              <w:ind w:hanging="1"/>
              <w:jc w:val="center"/>
              <w:rPr>
                <w:szCs w:val="21"/>
              </w:rPr>
            </w:pPr>
            <w:r>
              <w:rPr>
                <w:b w:val="0"/>
                <w:i w:val="0"/>
                <w:strike w:val="0"/>
                <w:u w:val="none"/>
              </w:rPr>
              <w:t>5</w:t>
            </w:r>
          </w:p>
        </w:tc>
        <w:tc>
          <w:tcPr>
            <w:tcW w:w="3159" w:type="dxa"/>
            <w:shd w:val="clear" w:color="auto" w:fill="auto"/>
            <w:vAlign w:val="center"/>
          </w:tcPr>
          <w:p w14:paraId="5775F08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26江苏银行CD109</w:t>
            </w:r>
          </w:p>
        </w:tc>
        <w:tc>
          <w:tcPr>
            <w:tcW w:w="2693" w:type="dxa"/>
            <w:shd w:val="clear" w:color="auto" w:fill="auto"/>
            <w:vAlign w:val="center"/>
          </w:tcPr>
          <w:p w14:paraId="43DEA5B3">
            <w:pPr>
              <w:ind w:hanging="1"/>
              <w:jc w:val="right"/>
            </w:pPr>
            <w:r>
              <w:rPr>
                <w:b w:val="0"/>
                <w:i w:val="0"/>
                <w:strike w:val="0"/>
                <w:u w:val="none"/>
              </w:rPr>
              <w:t>9,995,176.00</w:t>
            </w:r>
          </w:p>
        </w:tc>
        <w:tc>
          <w:tcPr>
            <w:tcW w:w="2431" w:type="dxa"/>
            <w:shd w:val="clear" w:color="auto" w:fill="auto"/>
            <w:vAlign w:val="center"/>
          </w:tcPr>
          <w:p w14:paraId="4775C3BE">
            <w:pPr>
              <w:ind w:hanging="1"/>
              <w:jc w:val="right"/>
            </w:pPr>
            <w:r>
              <w:rPr>
                <w:rFonts w:hint="eastAsia"/>
                <w:b w:val="0"/>
                <w:i w:val="0"/>
                <w:strike w:val="0"/>
                <w:u w:val="none"/>
              </w:rPr>
              <w:t>4.20</w:t>
            </w:r>
          </w:p>
        </w:tc>
      </w:tr>
      <w:tr w14:paraId="5998F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6765678">
            <w:pPr>
              <w:ind w:hanging="1"/>
              <w:jc w:val="center"/>
              <w:rPr>
                <w:szCs w:val="21"/>
              </w:rPr>
            </w:pPr>
            <w:r>
              <w:rPr>
                <w:b w:val="0"/>
                <w:i w:val="0"/>
                <w:strike w:val="0"/>
                <w:u w:val="none"/>
              </w:rPr>
              <w:t>6</w:t>
            </w:r>
          </w:p>
        </w:tc>
        <w:tc>
          <w:tcPr>
            <w:tcW w:w="3159" w:type="dxa"/>
            <w:shd w:val="clear" w:color="auto" w:fill="auto"/>
            <w:vAlign w:val="center"/>
          </w:tcPr>
          <w:p w14:paraId="63AA492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25贵州银行CD081</w:t>
            </w:r>
          </w:p>
        </w:tc>
        <w:tc>
          <w:tcPr>
            <w:tcW w:w="2693" w:type="dxa"/>
            <w:shd w:val="clear" w:color="auto" w:fill="auto"/>
            <w:vAlign w:val="center"/>
          </w:tcPr>
          <w:p w14:paraId="4BEAA13B">
            <w:pPr>
              <w:ind w:hanging="1"/>
              <w:jc w:val="right"/>
            </w:pPr>
            <w:r>
              <w:rPr>
                <w:b w:val="0"/>
                <w:i w:val="0"/>
                <w:strike w:val="0"/>
                <w:u w:val="none"/>
              </w:rPr>
              <w:t>9,985,949.37</w:t>
            </w:r>
          </w:p>
        </w:tc>
        <w:tc>
          <w:tcPr>
            <w:tcW w:w="2431" w:type="dxa"/>
            <w:shd w:val="clear" w:color="auto" w:fill="auto"/>
            <w:vAlign w:val="center"/>
          </w:tcPr>
          <w:p w14:paraId="1F72E1D3">
            <w:pPr>
              <w:ind w:hanging="1"/>
              <w:jc w:val="right"/>
            </w:pPr>
            <w:r>
              <w:rPr>
                <w:rFonts w:hint="eastAsia"/>
                <w:b w:val="0"/>
                <w:i w:val="0"/>
                <w:strike w:val="0"/>
                <w:u w:val="none"/>
              </w:rPr>
              <w:t>4.20</w:t>
            </w:r>
          </w:p>
        </w:tc>
      </w:tr>
      <w:tr w14:paraId="61604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FF59B70">
            <w:pPr>
              <w:ind w:hanging="1"/>
              <w:jc w:val="center"/>
              <w:rPr>
                <w:szCs w:val="21"/>
              </w:rPr>
            </w:pPr>
            <w:r>
              <w:rPr>
                <w:b w:val="0"/>
                <w:i w:val="0"/>
                <w:strike w:val="0"/>
                <w:u w:val="none"/>
              </w:rPr>
              <w:t>7</w:t>
            </w:r>
          </w:p>
        </w:tc>
        <w:tc>
          <w:tcPr>
            <w:tcW w:w="3159" w:type="dxa"/>
            <w:shd w:val="clear" w:color="auto" w:fill="auto"/>
            <w:vAlign w:val="center"/>
          </w:tcPr>
          <w:p w14:paraId="50F5983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25贵州银行CD079</w:t>
            </w:r>
          </w:p>
        </w:tc>
        <w:tc>
          <w:tcPr>
            <w:tcW w:w="2693" w:type="dxa"/>
            <w:shd w:val="clear" w:color="auto" w:fill="auto"/>
            <w:vAlign w:val="center"/>
          </w:tcPr>
          <w:p w14:paraId="4A61EDAF">
            <w:pPr>
              <w:ind w:hanging="1"/>
              <w:jc w:val="right"/>
            </w:pPr>
            <w:r>
              <w:rPr>
                <w:b w:val="0"/>
                <w:i w:val="0"/>
                <w:strike w:val="0"/>
                <w:u w:val="none"/>
              </w:rPr>
              <w:t>9,985,672.99</w:t>
            </w:r>
          </w:p>
        </w:tc>
        <w:tc>
          <w:tcPr>
            <w:tcW w:w="2431" w:type="dxa"/>
            <w:shd w:val="clear" w:color="auto" w:fill="auto"/>
            <w:vAlign w:val="center"/>
          </w:tcPr>
          <w:p w14:paraId="2BCEA236">
            <w:pPr>
              <w:ind w:hanging="1"/>
              <w:jc w:val="right"/>
            </w:pPr>
            <w:r>
              <w:rPr>
                <w:rFonts w:hint="eastAsia"/>
                <w:b w:val="0"/>
                <w:i w:val="0"/>
                <w:strike w:val="0"/>
                <w:u w:val="none"/>
              </w:rPr>
              <w:t>4.20</w:t>
            </w:r>
          </w:p>
        </w:tc>
      </w:tr>
      <w:tr w14:paraId="2FF56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12518C1">
            <w:pPr>
              <w:ind w:hanging="1"/>
              <w:jc w:val="center"/>
              <w:rPr>
                <w:szCs w:val="21"/>
              </w:rPr>
            </w:pPr>
            <w:r>
              <w:rPr>
                <w:b w:val="0"/>
                <w:i w:val="0"/>
                <w:strike w:val="0"/>
                <w:u w:val="none"/>
              </w:rPr>
              <w:t>8</w:t>
            </w:r>
          </w:p>
        </w:tc>
        <w:tc>
          <w:tcPr>
            <w:tcW w:w="3159" w:type="dxa"/>
            <w:shd w:val="clear" w:color="auto" w:fill="auto"/>
            <w:vAlign w:val="center"/>
          </w:tcPr>
          <w:p w14:paraId="08C268D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26广东华兴银行CD203</w:t>
            </w:r>
          </w:p>
        </w:tc>
        <w:tc>
          <w:tcPr>
            <w:tcW w:w="2693" w:type="dxa"/>
            <w:shd w:val="clear" w:color="auto" w:fill="auto"/>
            <w:vAlign w:val="center"/>
          </w:tcPr>
          <w:p w14:paraId="7BCB1F77">
            <w:pPr>
              <w:ind w:hanging="1"/>
              <w:jc w:val="right"/>
            </w:pPr>
            <w:r>
              <w:rPr>
                <w:b w:val="0"/>
                <w:i w:val="0"/>
                <w:strike w:val="0"/>
                <w:u w:val="none"/>
              </w:rPr>
              <w:t>9,983,586.09</w:t>
            </w:r>
          </w:p>
        </w:tc>
        <w:tc>
          <w:tcPr>
            <w:tcW w:w="2431" w:type="dxa"/>
            <w:shd w:val="clear" w:color="auto" w:fill="auto"/>
            <w:vAlign w:val="center"/>
          </w:tcPr>
          <w:p w14:paraId="5D0784F4">
            <w:pPr>
              <w:ind w:hanging="1"/>
              <w:jc w:val="right"/>
            </w:pPr>
            <w:r>
              <w:rPr>
                <w:rFonts w:hint="eastAsia"/>
                <w:b w:val="0"/>
                <w:i w:val="0"/>
                <w:strike w:val="0"/>
                <w:u w:val="none"/>
              </w:rPr>
              <w:t>4.20</w:t>
            </w:r>
          </w:p>
        </w:tc>
      </w:tr>
      <w:tr w14:paraId="72BEE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E29C0D0">
            <w:pPr>
              <w:ind w:hanging="1"/>
              <w:jc w:val="center"/>
              <w:rPr>
                <w:szCs w:val="21"/>
              </w:rPr>
            </w:pPr>
            <w:r>
              <w:rPr>
                <w:b w:val="0"/>
                <w:i w:val="0"/>
                <w:strike w:val="0"/>
                <w:u w:val="none"/>
              </w:rPr>
              <w:t>9</w:t>
            </w:r>
          </w:p>
        </w:tc>
        <w:tc>
          <w:tcPr>
            <w:tcW w:w="3159" w:type="dxa"/>
            <w:shd w:val="clear" w:color="auto" w:fill="auto"/>
            <w:vAlign w:val="center"/>
          </w:tcPr>
          <w:p w14:paraId="72B62D5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25天津农村商业银行CD070</w:t>
            </w:r>
          </w:p>
        </w:tc>
        <w:tc>
          <w:tcPr>
            <w:tcW w:w="2693" w:type="dxa"/>
            <w:shd w:val="clear" w:color="auto" w:fill="auto"/>
            <w:vAlign w:val="center"/>
          </w:tcPr>
          <w:p w14:paraId="5D6A157A">
            <w:pPr>
              <w:ind w:hanging="1"/>
              <w:jc w:val="right"/>
            </w:pPr>
            <w:r>
              <w:rPr>
                <w:b w:val="0"/>
                <w:i w:val="0"/>
                <w:strike w:val="0"/>
                <w:u w:val="none"/>
              </w:rPr>
              <w:t>9,978,897.53</w:t>
            </w:r>
          </w:p>
        </w:tc>
        <w:tc>
          <w:tcPr>
            <w:tcW w:w="2431" w:type="dxa"/>
            <w:shd w:val="clear" w:color="auto" w:fill="auto"/>
            <w:vAlign w:val="center"/>
          </w:tcPr>
          <w:p w14:paraId="5875B7C6">
            <w:pPr>
              <w:ind w:hanging="1"/>
              <w:jc w:val="right"/>
            </w:pPr>
            <w:r>
              <w:rPr>
                <w:rFonts w:hint="eastAsia"/>
                <w:b w:val="0"/>
                <w:i w:val="0"/>
                <w:strike w:val="0"/>
                <w:u w:val="none"/>
              </w:rPr>
              <w:t>4.20</w:t>
            </w:r>
          </w:p>
        </w:tc>
      </w:tr>
      <w:tr w14:paraId="73DEF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124DC7E">
            <w:pPr>
              <w:ind w:hanging="1"/>
              <w:jc w:val="center"/>
              <w:rPr>
                <w:szCs w:val="21"/>
              </w:rPr>
            </w:pPr>
            <w:r>
              <w:rPr>
                <w:b w:val="0"/>
                <w:i w:val="0"/>
                <w:strike w:val="0"/>
                <w:u w:val="none"/>
              </w:rPr>
              <w:t>10</w:t>
            </w:r>
          </w:p>
        </w:tc>
        <w:tc>
          <w:tcPr>
            <w:tcW w:w="3159" w:type="dxa"/>
            <w:shd w:val="clear" w:color="auto" w:fill="auto"/>
            <w:vAlign w:val="center"/>
          </w:tcPr>
          <w:p w14:paraId="0289992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25厦门银行CD070</w:t>
            </w:r>
          </w:p>
        </w:tc>
        <w:tc>
          <w:tcPr>
            <w:tcW w:w="2693" w:type="dxa"/>
            <w:shd w:val="clear" w:color="auto" w:fill="auto"/>
            <w:vAlign w:val="center"/>
          </w:tcPr>
          <w:p w14:paraId="746F3BA1">
            <w:pPr>
              <w:ind w:hanging="1"/>
              <w:jc w:val="right"/>
            </w:pPr>
            <w:r>
              <w:rPr>
                <w:b w:val="0"/>
                <w:i w:val="0"/>
                <w:strike w:val="0"/>
                <w:u w:val="none"/>
              </w:rPr>
              <w:t>9,977,405.04</w:t>
            </w:r>
          </w:p>
        </w:tc>
        <w:tc>
          <w:tcPr>
            <w:tcW w:w="2431" w:type="dxa"/>
            <w:shd w:val="clear" w:color="auto" w:fill="auto"/>
            <w:vAlign w:val="center"/>
          </w:tcPr>
          <w:p w14:paraId="23C4C194">
            <w:pPr>
              <w:ind w:hanging="1"/>
              <w:jc w:val="right"/>
            </w:pPr>
            <w:r>
              <w:rPr>
                <w:rFonts w:hint="eastAsia"/>
                <w:b w:val="0"/>
                <w:i w:val="0"/>
                <w:strike w:val="0"/>
                <w:u w:val="none"/>
              </w:rPr>
              <w:t>4.20</w:t>
            </w:r>
          </w:p>
        </w:tc>
      </w:tr>
    </w:tbl>
    <w:p w14:paraId="2015A5AD">
      <w:pPr>
        <w:rPr>
          <w:rFonts w:ascii="宋体" w:hAnsi="宋体"/>
          <w:sz w:val="24"/>
        </w:rPr>
      </w:pPr>
      <w:r>
        <w:rPr>
          <w:rFonts w:hint="eastAsia" w:ascii="宋体" w:hAnsi="宋体"/>
          <w:sz w:val="24"/>
        </w:rPr>
        <w:t xml:space="preserve"> </w:t>
      </w:r>
    </w:p>
    <w:p w14:paraId="4CF637D5">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29F1E60B">
      <w:pPr>
        <w:pStyle w:val="40"/>
      </w:pPr>
      <w:r>
        <w:t>托管人报告</w:t>
      </w:r>
    </w:p>
    <w:p w14:paraId="23D00FE6">
      <w:pPr>
        <w:spacing w:line="360" w:lineRule="auto"/>
        <w:ind w:right="-107" w:rightChars="-51"/>
        <w:jc w:val="left"/>
        <w:rPr>
          <w:rFonts w:hint="eastAsia" w:ascii="宋体" w:hAnsi="宋体"/>
          <w:szCs w:val="21"/>
        </w:rPr>
      </w:pPr>
      <w:r>
        <w:rPr>
          <w:rFonts w:hint="eastAsia" w:ascii="宋体" w:hAnsi="宋体"/>
          <w:szCs w:val="21"/>
        </w:rPr>
        <w:t>5.1、托管人履职情况</w:t>
      </w:r>
    </w:p>
    <w:p w14:paraId="7F24BE06">
      <w:pPr>
        <w:spacing w:line="360" w:lineRule="auto"/>
        <w:ind w:right="-107" w:rightChars="-51"/>
        <w:jc w:val="left"/>
        <w:rPr>
          <w:rFonts w:hint="eastAsia" w:ascii="宋体" w:hAnsi="宋体"/>
          <w:szCs w:val="21"/>
        </w:rPr>
      </w:pPr>
      <w:r>
        <w:rPr>
          <w:rFonts w:hint="eastAsia" w:ascii="宋体" w:hAnsi="宋体"/>
          <w:szCs w:val="21"/>
        </w:rPr>
        <w:t>（一）托管资产保管</w:t>
      </w:r>
    </w:p>
    <w:p w14:paraId="68437BD9">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4448FC32">
      <w:pPr>
        <w:spacing w:line="360" w:lineRule="auto"/>
        <w:ind w:right="-107" w:rightChars="-51"/>
        <w:jc w:val="left"/>
        <w:rPr>
          <w:rFonts w:hint="eastAsia" w:ascii="宋体" w:hAnsi="宋体"/>
          <w:szCs w:val="21"/>
        </w:rPr>
      </w:pPr>
      <w:r>
        <w:rPr>
          <w:rFonts w:hint="eastAsia" w:ascii="宋体" w:hAnsi="宋体"/>
          <w:szCs w:val="21"/>
        </w:rPr>
        <w:t>（二）会计核算和估值</w:t>
      </w:r>
    </w:p>
    <w:p w14:paraId="5C3D0B8D">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46D223E6">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23F2CB3D">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1227735D">
      <w:pPr>
        <w:spacing w:line="360" w:lineRule="auto"/>
        <w:ind w:right="-107" w:rightChars="-51"/>
        <w:jc w:val="left"/>
        <w:rPr>
          <w:rFonts w:hint="eastAsia" w:ascii="宋体" w:hAnsi="宋体"/>
          <w:szCs w:val="21"/>
        </w:rPr>
      </w:pPr>
      <w:r>
        <w:rPr>
          <w:rFonts w:hint="eastAsia" w:ascii="宋体" w:hAnsi="宋体"/>
          <w:szCs w:val="21"/>
        </w:rPr>
        <w:t>（四）投资监督</w:t>
      </w:r>
    </w:p>
    <w:p w14:paraId="01A8658F">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07D19EC0">
      <w:pPr>
        <w:spacing w:line="360" w:lineRule="auto"/>
        <w:ind w:right="-107" w:rightChars="-51"/>
        <w:jc w:val="left"/>
        <w:rPr>
          <w:rFonts w:hint="eastAsia" w:ascii="宋体" w:hAnsi="宋体"/>
          <w:szCs w:val="21"/>
        </w:rPr>
      </w:pPr>
      <w:r>
        <w:rPr>
          <w:rFonts w:hint="eastAsia" w:ascii="宋体" w:hAnsi="宋体"/>
          <w:szCs w:val="21"/>
        </w:rPr>
        <w:t>5.2、托管人声明</w:t>
      </w:r>
    </w:p>
    <w:p w14:paraId="663183F5">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0B9BB1DA">
      <w:pPr>
        <w:pStyle w:val="40"/>
      </w:pPr>
      <w:r>
        <w:rPr>
          <w:rFonts w:hint="eastAsia"/>
          <w:lang w:val="en-US"/>
        </w:rPr>
        <w:t>关联交易情况说明</w:t>
      </w:r>
      <w:bookmarkStart w:id="5" w:name="_GoBack"/>
      <w:bookmarkEnd w:id="5"/>
    </w:p>
    <w:p w14:paraId="7F88672C">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63510037">
      <w:pPr>
        <w:ind w:firstLine="420" w:firstLineChars="200"/>
        <w:jc w:val="left"/>
        <w:rPr>
          <w:rFonts w:hint="eastAsia" w:asciiTheme="minorEastAsia" w:hAnsiTheme="minorEastAsia" w:eastAsiaTheme="minorEastAsia"/>
          <w:szCs w:val="21"/>
          <w:lang w:eastAsia="zh-CN"/>
        </w:rPr>
      </w:pPr>
    </w:p>
    <w:p w14:paraId="43FB90C8">
      <w:pPr>
        <w:spacing w:line="360" w:lineRule="auto"/>
        <w:ind w:right="-107" w:rightChars="-51" w:firstLine="420" w:firstLineChars="200"/>
        <w:jc w:val="left"/>
        <w:rPr>
          <w:rFonts w:hint="eastAsia" w:ascii="宋体" w:hAnsi="宋体"/>
          <w:szCs w:val="21"/>
        </w:rPr>
      </w:pPr>
    </w:p>
    <w:p w14:paraId="5BC4FA0B">
      <w:pPr>
        <w:jc w:val="left"/>
        <w:rPr>
          <w:rFonts w:asciiTheme="minorEastAsia" w:hAnsiTheme="minorEastAsia" w:eastAsiaTheme="minorEastAsia"/>
          <w:szCs w:val="21"/>
        </w:rPr>
      </w:pPr>
    </w:p>
    <w:p w14:paraId="304DB27F">
      <w:pPr>
        <w:jc w:val="right"/>
        <w:rPr>
          <w:rFonts w:ascii="宋体" w:hAnsi="宋体"/>
          <w:sz w:val="24"/>
        </w:rPr>
      </w:pPr>
    </w:p>
    <w:p w14:paraId="745BBC2A">
      <w:pPr>
        <w:jc w:val="right"/>
        <w:rPr>
          <w:rFonts w:ascii="宋体" w:hAnsi="宋体"/>
          <w:sz w:val="28"/>
          <w:szCs w:val="28"/>
        </w:rPr>
      </w:pPr>
      <w:r>
        <w:rPr>
          <w:rFonts w:ascii="宋体" w:hAnsi="宋体"/>
          <w:sz w:val="28"/>
          <w:szCs w:val="28"/>
        </w:rPr>
        <w:t>四川银行股份有限公司</w:t>
      </w:r>
    </w:p>
    <w:p w14:paraId="0D22C4DE">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0B781">
    <w:pPr>
      <w:pStyle w:val="10"/>
      <w:framePr w:wrap="around" w:vAnchor="text" w:hAnchor="margin" w:xAlign="right" w:y="1"/>
      <w:rPr>
        <w:rStyle w:val="20"/>
      </w:rPr>
    </w:pPr>
    <w:r>
      <w:rPr>
        <w:rStyle w:val="20"/>
        <w:rFonts w:hint="eastAsia"/>
      </w:rPr>
      <w:t xml:space="preserve"> </w:t>
    </w:r>
  </w:p>
  <w:p w14:paraId="15591DB9">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D3337">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6F19DA6A">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 w:val="79644FC9"/>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2026-07-07T06:44:38Z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