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C87B2C7">
      <w:pPr>
        <w:rPr>
          <w:sz w:val="48"/>
        </w:rPr>
      </w:pPr>
    </w:p>
    <w:p w14:paraId="1DBEF5CE">
      <w:pPr>
        <w:rPr>
          <w:sz w:val="48"/>
        </w:rPr>
      </w:pPr>
    </w:p>
    <w:p w14:paraId="5F322B1F">
      <w:pPr>
        <w:jc w:val="center"/>
        <w:rPr>
          <w:rFonts w:ascii="宋体" w:hAnsi="宋体"/>
          <w:b/>
          <w:bCs/>
          <w:sz w:val="48"/>
          <w:szCs w:val="30"/>
        </w:rPr>
      </w:pPr>
      <w:r>
        <w:rPr>
          <w:rFonts w:ascii="宋体" w:hAnsi="宋体"/>
          <w:b/>
          <w:bCs/>
          <w:sz w:val="48"/>
          <w:szCs w:val="30"/>
        </w:rPr>
        <w:t>四川银行定开系列3个月10号净值型理财产品</w:t>
      </w:r>
    </w:p>
    <w:p w14:paraId="76F9A0B1">
      <w:pPr>
        <w:jc w:val="center"/>
        <w:rPr>
          <w:rFonts w:ascii="宋体" w:hAnsi="宋体"/>
          <w:b/>
          <w:bCs/>
          <w:sz w:val="48"/>
          <w:szCs w:val="30"/>
        </w:rPr>
      </w:pPr>
      <w:r>
        <w:rPr>
          <w:rFonts w:ascii="宋体" w:hAnsi="宋体"/>
          <w:b/>
          <w:bCs/>
          <w:sz w:val="48"/>
          <w:szCs w:val="30"/>
        </w:rPr>
        <w:t>2026年第2季度</w:t>
      </w:r>
      <w:r>
        <w:rPr>
          <w:rFonts w:hint="eastAsia" w:ascii="宋体" w:hAnsi="宋体"/>
          <w:b/>
          <w:bCs/>
          <w:sz w:val="48"/>
          <w:szCs w:val="30"/>
        </w:rPr>
        <w:t>报告</w:t>
      </w:r>
    </w:p>
    <w:p w14:paraId="53376491">
      <w:pPr>
        <w:jc w:val="center"/>
        <w:rPr>
          <w:rFonts w:ascii="宋体" w:hAnsi="宋体"/>
          <w:b/>
          <w:bCs/>
          <w:sz w:val="28"/>
          <w:szCs w:val="30"/>
        </w:rPr>
      </w:pPr>
    </w:p>
    <w:p w14:paraId="20C17065">
      <w:pPr>
        <w:jc w:val="center"/>
        <w:rPr>
          <w:rFonts w:ascii="宋体" w:hAnsi="宋体"/>
          <w:sz w:val="28"/>
          <w:szCs w:val="30"/>
        </w:rPr>
      </w:pPr>
    </w:p>
    <w:p w14:paraId="3CF41241">
      <w:pPr>
        <w:jc w:val="center"/>
        <w:rPr>
          <w:rFonts w:ascii="宋体" w:hAnsi="宋体"/>
          <w:sz w:val="28"/>
          <w:szCs w:val="30"/>
        </w:rPr>
      </w:pPr>
    </w:p>
    <w:p w14:paraId="65D3E279">
      <w:pPr>
        <w:jc w:val="center"/>
        <w:rPr>
          <w:rFonts w:ascii="宋体" w:hAnsi="宋体"/>
          <w:sz w:val="28"/>
          <w:szCs w:val="30"/>
        </w:rPr>
      </w:pPr>
    </w:p>
    <w:p w14:paraId="7164355E">
      <w:pPr>
        <w:jc w:val="center"/>
        <w:rPr>
          <w:rFonts w:ascii="宋体" w:hAnsi="宋体"/>
          <w:sz w:val="28"/>
          <w:szCs w:val="30"/>
        </w:rPr>
      </w:pPr>
    </w:p>
    <w:p w14:paraId="29EE561D">
      <w:pPr>
        <w:jc w:val="center"/>
        <w:rPr>
          <w:rFonts w:ascii="宋体" w:hAnsi="宋体"/>
          <w:sz w:val="28"/>
          <w:szCs w:val="30"/>
        </w:rPr>
      </w:pPr>
    </w:p>
    <w:p w14:paraId="18143DA6">
      <w:pPr>
        <w:jc w:val="center"/>
        <w:rPr>
          <w:rFonts w:ascii="宋体" w:hAnsi="宋体"/>
          <w:sz w:val="28"/>
          <w:szCs w:val="30"/>
        </w:rPr>
      </w:pPr>
    </w:p>
    <w:p w14:paraId="639E1DDE">
      <w:pPr>
        <w:jc w:val="center"/>
        <w:rPr>
          <w:rFonts w:ascii="宋体" w:hAnsi="宋体"/>
          <w:sz w:val="28"/>
          <w:szCs w:val="30"/>
        </w:rPr>
      </w:pPr>
    </w:p>
    <w:p w14:paraId="310952B7">
      <w:pPr>
        <w:jc w:val="center"/>
        <w:rPr>
          <w:rFonts w:ascii="宋体" w:hAnsi="宋体"/>
          <w:sz w:val="28"/>
          <w:szCs w:val="30"/>
        </w:rPr>
      </w:pPr>
    </w:p>
    <w:p w14:paraId="73A81002">
      <w:pPr>
        <w:jc w:val="center"/>
        <w:rPr>
          <w:rFonts w:ascii="宋体" w:hAnsi="宋体"/>
          <w:sz w:val="28"/>
          <w:szCs w:val="30"/>
        </w:rPr>
      </w:pPr>
    </w:p>
    <w:p w14:paraId="5C632275">
      <w:pPr>
        <w:jc w:val="center"/>
        <w:rPr>
          <w:rFonts w:ascii="宋体" w:hAnsi="宋体"/>
          <w:sz w:val="28"/>
          <w:szCs w:val="30"/>
        </w:rPr>
      </w:pPr>
    </w:p>
    <w:p w14:paraId="7C3E4DAD">
      <w:pPr>
        <w:jc w:val="center"/>
        <w:rPr>
          <w:rFonts w:ascii="宋体" w:hAnsi="宋体"/>
          <w:sz w:val="28"/>
          <w:szCs w:val="30"/>
        </w:rPr>
      </w:pPr>
    </w:p>
    <w:p w14:paraId="69607591">
      <w:pPr>
        <w:ind w:firstLine="1687" w:firstLineChars="600"/>
        <w:jc w:val="left"/>
        <w:rPr>
          <w:rFonts w:ascii="宋体" w:hAnsi="宋体"/>
          <w:b/>
          <w:bCs/>
          <w:sz w:val="28"/>
          <w:szCs w:val="30"/>
        </w:rPr>
      </w:pPr>
      <w:r>
        <w:rPr>
          <w:rFonts w:ascii="宋体" w:hAnsi="宋体"/>
          <w:b/>
          <w:bCs/>
          <w:sz w:val="28"/>
          <w:szCs w:val="30"/>
        </w:rPr>
        <w:t>产品管理人：四川银行股份有限公司</w:t>
      </w:r>
    </w:p>
    <w:p w14:paraId="039AEAAB">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14:paraId="5AE82988">
      <w:pPr>
        <w:ind w:firstLine="1680" w:firstLineChars="600"/>
        <w:jc w:val="left"/>
        <w:rPr>
          <w:rFonts w:ascii="宋体" w:hAnsi="宋体"/>
          <w:sz w:val="28"/>
          <w:szCs w:val="30"/>
        </w:rPr>
      </w:pPr>
    </w:p>
    <w:p w14:paraId="35637C25">
      <w:pPr>
        <w:ind w:firstLine="1680" w:firstLineChars="600"/>
        <w:jc w:val="left"/>
        <w:rPr>
          <w:rFonts w:ascii="宋体" w:hAnsi="宋体"/>
          <w:sz w:val="28"/>
          <w:szCs w:val="30"/>
        </w:rPr>
      </w:pPr>
    </w:p>
    <w:p w14:paraId="6AB23BF2">
      <w:pPr>
        <w:ind w:firstLine="1680" w:firstLineChars="600"/>
        <w:jc w:val="left"/>
        <w:rPr>
          <w:rFonts w:ascii="宋体" w:hAnsi="宋体"/>
          <w:sz w:val="28"/>
          <w:szCs w:val="30"/>
        </w:rPr>
      </w:pPr>
    </w:p>
    <w:p w14:paraId="26505C4C">
      <w:pPr>
        <w:rPr>
          <w:rFonts w:ascii="宋体" w:hAnsi="宋体"/>
          <w:sz w:val="28"/>
          <w:szCs w:val="30"/>
        </w:rPr>
      </w:pPr>
    </w:p>
    <w:p w14:paraId="508EF2D1">
      <w:pPr>
        <w:jc w:val="center"/>
        <w:rPr>
          <w:rFonts w:ascii="宋体" w:hAnsi="宋体"/>
          <w:b/>
          <w:bCs/>
          <w:sz w:val="28"/>
          <w:szCs w:val="30"/>
        </w:rPr>
      </w:pPr>
    </w:p>
    <w:p w14:paraId="5FEF5910">
      <w:pPr>
        <w:jc w:val="center"/>
        <w:rPr>
          <w:rFonts w:ascii="宋体" w:hAnsi="宋体"/>
          <w:b/>
          <w:bCs/>
          <w:sz w:val="28"/>
          <w:szCs w:val="30"/>
        </w:rPr>
      </w:pPr>
      <w:r>
        <w:rPr>
          <w:rFonts w:hint="eastAsia" w:ascii="宋体" w:hAnsi="宋体"/>
          <w:b/>
          <w:bCs/>
          <w:sz w:val="28"/>
          <w:szCs w:val="30"/>
        </w:rPr>
        <w:t>重要提示</w:t>
      </w:r>
    </w:p>
    <w:p w14:paraId="095D04D6">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14:paraId="5BBF12BD">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14:paraId="2D04D888">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14:paraId="2AF22391">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自2026-04-01起至2026-06-30</w:t>
      </w:r>
      <w:r>
        <w:rPr>
          <w:rFonts w:ascii="宋体" w:hAnsi="宋体"/>
          <w:szCs w:val="21"/>
        </w:rPr>
        <w:t>止。</w:t>
      </w:r>
    </w:p>
    <w:p w14:paraId="2955D959">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7734F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71F14E9">
            <w:pPr>
              <w:jc w:val="left"/>
              <w:rPr>
                <w:rFonts w:ascii="宋体" w:hAnsi="宋体"/>
                <w:b/>
                <w:szCs w:val="21"/>
              </w:rPr>
            </w:pPr>
            <w:r>
              <w:rPr>
                <w:rFonts w:hint="eastAsia" w:ascii="宋体" w:hAnsi="宋体"/>
                <w:b/>
                <w:szCs w:val="21"/>
              </w:rPr>
              <w:t>项目</w:t>
            </w:r>
          </w:p>
        </w:tc>
        <w:tc>
          <w:tcPr>
            <w:tcW w:w="5027" w:type="dxa"/>
            <w:vAlign w:val="center"/>
          </w:tcPr>
          <w:p w14:paraId="1FABBF88">
            <w:pPr>
              <w:jc w:val="left"/>
              <w:rPr>
                <w:rFonts w:ascii="宋体" w:hAnsi="宋体"/>
                <w:b/>
              </w:rPr>
            </w:pPr>
            <w:r>
              <w:rPr>
                <w:rFonts w:hint="eastAsia" w:ascii="宋体" w:hAnsi="宋体"/>
                <w:b/>
              </w:rPr>
              <w:t>信息</w:t>
            </w:r>
          </w:p>
        </w:tc>
      </w:tr>
      <w:tr w14:paraId="28572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6D0A8BA">
            <w:pPr>
              <w:jc w:val="left"/>
              <w:rPr>
                <w:rFonts w:hint="eastAsia" w:ascii="宋体" w:hAnsi="宋体"/>
                <w:szCs w:val="21"/>
              </w:rPr>
            </w:pPr>
            <w:r>
              <w:rPr>
                <w:rFonts w:hint="eastAsia" w:ascii="宋体" w:hAnsi="宋体"/>
                <w:szCs w:val="21"/>
              </w:rPr>
              <w:t>产品名称</w:t>
            </w:r>
          </w:p>
        </w:tc>
        <w:tc>
          <w:tcPr>
            <w:tcW w:w="5027" w:type="dxa"/>
            <w:vAlign w:val="center"/>
          </w:tcPr>
          <w:p w14:paraId="25955295">
            <w:pPr>
              <w:jc w:val="left"/>
              <w:rPr>
                <w:rFonts w:hint="eastAsia" w:ascii="宋体" w:hAnsi="宋体"/>
              </w:rPr>
            </w:pPr>
            <w:r>
              <w:rPr>
                <w:rFonts w:hint="eastAsia" w:ascii="宋体" w:hAnsi="宋体"/>
              </w:rPr>
              <w:t>四川银行定开系列3个月10号净值型理财产品</w:t>
            </w:r>
          </w:p>
        </w:tc>
      </w:tr>
      <w:tr w14:paraId="34B2A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9FB1B64">
            <w:pPr>
              <w:jc w:val="left"/>
              <w:rPr>
                <w:rFonts w:hint="eastAsia" w:ascii="宋体" w:hAnsi="宋体"/>
                <w:szCs w:val="21"/>
              </w:rPr>
            </w:pPr>
            <w:r>
              <w:rPr>
                <w:rFonts w:hint="eastAsia" w:ascii="宋体" w:hAnsi="宋体"/>
                <w:szCs w:val="21"/>
              </w:rPr>
              <w:t>产品登记编码</w:t>
            </w:r>
          </w:p>
        </w:tc>
        <w:tc>
          <w:tcPr>
            <w:tcW w:w="5027" w:type="dxa"/>
            <w:vAlign w:val="center"/>
          </w:tcPr>
          <w:p w14:paraId="7CF9F83A">
            <w:pPr>
              <w:jc w:val="left"/>
              <w:rPr>
                <w:rFonts w:hint="eastAsia" w:ascii="宋体" w:hAnsi="宋体"/>
              </w:rPr>
            </w:pPr>
            <w:r>
              <w:rPr>
                <w:rFonts w:hint="eastAsia" w:ascii="宋体" w:hAnsi="宋体"/>
              </w:rPr>
              <w:t>C1438122000025</w:t>
            </w:r>
          </w:p>
        </w:tc>
      </w:tr>
      <w:tr w14:paraId="49673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5DE5DB6">
            <w:pPr>
              <w:jc w:val="left"/>
              <w:rPr>
                <w:rFonts w:hint="eastAsia" w:ascii="宋体" w:hAnsi="宋体"/>
                <w:szCs w:val="21"/>
              </w:rPr>
            </w:pPr>
            <w:r>
              <w:rPr>
                <w:rFonts w:hint="eastAsia" w:ascii="宋体" w:hAnsi="宋体"/>
                <w:szCs w:val="21"/>
              </w:rPr>
              <w:t>产品管理人</w:t>
            </w:r>
          </w:p>
        </w:tc>
        <w:tc>
          <w:tcPr>
            <w:tcW w:w="5027" w:type="dxa"/>
            <w:vAlign w:val="center"/>
          </w:tcPr>
          <w:p w14:paraId="3FD7BB0C">
            <w:pPr>
              <w:jc w:val="left"/>
              <w:rPr>
                <w:rFonts w:hint="eastAsia" w:ascii="宋体" w:hAnsi="宋体"/>
              </w:rPr>
            </w:pPr>
            <w:r>
              <w:rPr>
                <w:rFonts w:hint="eastAsia" w:ascii="宋体" w:hAnsi="宋体"/>
              </w:rPr>
              <w:t>四川银行股份有限公司</w:t>
            </w:r>
          </w:p>
        </w:tc>
      </w:tr>
      <w:tr w14:paraId="12829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36C257B">
            <w:pPr>
              <w:jc w:val="left"/>
              <w:rPr>
                <w:rFonts w:hint="eastAsia" w:ascii="宋体" w:hAnsi="宋体"/>
                <w:szCs w:val="21"/>
              </w:rPr>
            </w:pPr>
            <w:r>
              <w:rPr>
                <w:rFonts w:hint="eastAsia" w:ascii="宋体" w:hAnsi="宋体"/>
                <w:szCs w:val="21"/>
              </w:rPr>
              <w:t>产品托管人</w:t>
            </w:r>
          </w:p>
        </w:tc>
        <w:tc>
          <w:tcPr>
            <w:tcW w:w="5027" w:type="dxa"/>
            <w:vAlign w:val="center"/>
          </w:tcPr>
          <w:p w14:paraId="70F21E1A">
            <w:pPr>
              <w:jc w:val="left"/>
              <w:rPr>
                <w:rFonts w:hint="eastAsia" w:ascii="宋体" w:hAnsi="宋体"/>
              </w:rPr>
            </w:pPr>
            <w:r>
              <w:rPr>
                <w:rFonts w:hint="eastAsia" w:ascii="宋体" w:hAnsi="宋体"/>
              </w:rPr>
              <w:t>招商银行股份有限公司成都分行</w:t>
            </w:r>
          </w:p>
        </w:tc>
      </w:tr>
      <w:tr w14:paraId="53BE4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7C8EDAE">
            <w:pPr>
              <w:jc w:val="left"/>
              <w:rPr>
                <w:rFonts w:hint="eastAsia" w:ascii="宋体" w:hAnsi="宋体"/>
                <w:szCs w:val="21"/>
              </w:rPr>
            </w:pPr>
            <w:r>
              <w:rPr>
                <w:rFonts w:hint="eastAsia" w:ascii="宋体" w:hAnsi="宋体"/>
                <w:szCs w:val="21"/>
              </w:rPr>
              <w:t>产品运作方式</w:t>
            </w:r>
          </w:p>
        </w:tc>
        <w:tc>
          <w:tcPr>
            <w:tcW w:w="5027" w:type="dxa"/>
            <w:vAlign w:val="center"/>
          </w:tcPr>
          <w:p w14:paraId="0BC53A4F">
            <w:pPr>
              <w:jc w:val="left"/>
              <w:rPr>
                <w:rFonts w:hint="eastAsia" w:ascii="宋体" w:hAnsi="宋体"/>
              </w:rPr>
            </w:pPr>
            <w:r>
              <w:rPr>
                <w:rFonts w:hint="eastAsia" w:ascii="宋体" w:hAnsi="宋体"/>
              </w:rPr>
              <w:t>公募定期开放式净值型</w:t>
            </w:r>
          </w:p>
        </w:tc>
      </w:tr>
      <w:tr w14:paraId="5C192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F6E778A">
            <w:pPr>
              <w:jc w:val="left"/>
              <w:rPr>
                <w:rFonts w:hint="eastAsia" w:ascii="宋体" w:hAnsi="宋体"/>
                <w:szCs w:val="21"/>
              </w:rPr>
            </w:pPr>
            <w:r>
              <w:rPr>
                <w:rFonts w:hint="eastAsia" w:ascii="宋体" w:hAnsi="宋体"/>
                <w:szCs w:val="21"/>
              </w:rPr>
              <w:t>产品成立日</w:t>
            </w:r>
          </w:p>
        </w:tc>
        <w:tc>
          <w:tcPr>
            <w:tcW w:w="5027" w:type="dxa"/>
            <w:vAlign w:val="center"/>
          </w:tcPr>
          <w:p w14:paraId="41B1C754">
            <w:pPr>
              <w:jc w:val="left"/>
              <w:rPr>
                <w:rFonts w:hint="eastAsia" w:ascii="宋体" w:hAnsi="宋体"/>
              </w:rPr>
            </w:pPr>
            <w:r>
              <w:rPr>
                <w:rFonts w:hint="eastAsia" w:ascii="宋体" w:hAnsi="宋体"/>
              </w:rPr>
              <w:t>2022-06-09</w:t>
            </w:r>
          </w:p>
        </w:tc>
      </w:tr>
      <w:tr w14:paraId="25001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50AAFCB">
            <w:pPr>
              <w:jc w:val="left"/>
              <w:rPr>
                <w:rFonts w:hint="eastAsia" w:ascii="宋体" w:hAnsi="宋体"/>
                <w:szCs w:val="21"/>
              </w:rPr>
            </w:pPr>
            <w:r>
              <w:rPr>
                <w:rFonts w:hint="eastAsia" w:ascii="宋体" w:hAnsi="宋体"/>
                <w:szCs w:val="21"/>
              </w:rPr>
              <w:t>产品到期日</w:t>
            </w:r>
          </w:p>
        </w:tc>
        <w:tc>
          <w:tcPr>
            <w:tcW w:w="5027" w:type="dxa"/>
            <w:vAlign w:val="center"/>
          </w:tcPr>
          <w:p w14:paraId="2EBCDBF6">
            <w:pPr>
              <w:jc w:val="left"/>
              <w:rPr>
                <w:rFonts w:hint="eastAsia" w:ascii="宋体" w:hAnsi="宋体"/>
              </w:rPr>
            </w:pPr>
            <w:r>
              <w:rPr>
                <w:rFonts w:hint="eastAsia" w:ascii="宋体" w:hAnsi="宋体"/>
              </w:rPr>
              <w:t>9999-12-31</w:t>
            </w:r>
          </w:p>
        </w:tc>
      </w:tr>
      <w:tr w14:paraId="5AC0F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14:paraId="1DB8A383">
            <w:pPr>
              <w:jc w:val="left"/>
              <w:rPr>
                <w:rFonts w:hint="eastAsia" w:ascii="宋体" w:hAnsi="宋体"/>
                <w:szCs w:val="21"/>
              </w:rPr>
            </w:pPr>
            <w:r>
              <w:rPr>
                <w:rFonts w:hint="eastAsia" w:ascii="宋体" w:hAnsi="宋体"/>
                <w:szCs w:val="21"/>
              </w:rPr>
              <w:t>报告期末产品份额总额</w:t>
            </w:r>
          </w:p>
        </w:tc>
        <w:tc>
          <w:tcPr>
            <w:tcW w:w="5027" w:type="dxa"/>
            <w:vAlign w:val="center"/>
          </w:tcPr>
          <w:p w14:paraId="49C5C4C1">
            <w:pPr>
              <w:jc w:val="left"/>
              <w:rPr>
                <w:rFonts w:hint="eastAsia" w:ascii="宋体" w:hAnsi="宋体"/>
              </w:rPr>
            </w:pPr>
            <w:bookmarkStart w:id="0" w:name="OLE_LINK1"/>
            <w:r>
              <w:rPr>
                <w:rFonts w:hint="eastAsia" w:ascii="宋体" w:hAnsi="宋体"/>
              </w:rPr>
              <w:t>502,274,700.00</w:t>
            </w:r>
            <w:bookmarkEnd w:id="0"/>
          </w:p>
        </w:tc>
      </w:tr>
      <w:tr w14:paraId="6F727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6318787">
            <w:pPr>
              <w:jc w:val="left"/>
              <w:rPr>
                <w:rFonts w:hint="eastAsia" w:ascii="宋体" w:hAnsi="宋体"/>
                <w:szCs w:val="21"/>
              </w:rPr>
            </w:pPr>
            <w:r>
              <w:rPr>
                <w:rFonts w:hint="eastAsia" w:ascii="宋体" w:hAnsi="宋体"/>
                <w:szCs w:val="21"/>
              </w:rPr>
              <w:t>业绩比较基准（如有）</w:t>
            </w:r>
          </w:p>
        </w:tc>
        <w:tc>
          <w:tcPr>
            <w:tcW w:w="5027" w:type="dxa"/>
            <w:vAlign w:val="center"/>
          </w:tcPr>
          <w:p w14:paraId="0156038E">
            <w:pPr>
              <w:jc w:val="left"/>
              <w:rPr>
                <w:rFonts w:hint="eastAsia" w:ascii="宋体" w:hAnsi="宋体"/>
              </w:rPr>
            </w:pPr>
            <w:r>
              <w:rPr>
                <w:rFonts w:hint="eastAsia" w:ascii="宋体" w:hAnsi="宋体"/>
              </w:rPr>
              <w:t>[2.2%-3.2%]/年</w:t>
            </w:r>
          </w:p>
        </w:tc>
      </w:tr>
      <w:tr w14:paraId="5B743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943AE85">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14:paraId="5F7783B5">
            <w:pPr>
              <w:jc w:val="left"/>
              <w:rPr>
                <w:rFonts w:hint="eastAsia" w:ascii="宋体" w:hAnsi="宋体"/>
              </w:rPr>
            </w:pPr>
            <w:r>
              <w:rPr>
                <w:rFonts w:hint="eastAsia" w:ascii="宋体" w:hAnsi="宋体"/>
                <w:lang w:val="en-US" w:eastAsia="zh-CN"/>
              </w:rPr>
              <w:t>101.25%</w:t>
            </w:r>
          </w:p>
        </w:tc>
      </w:tr>
      <w:tr w14:paraId="74166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6FCDC85">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14:paraId="290093A2">
            <w:pPr>
              <w:jc w:val="left"/>
              <w:rPr>
                <w:rFonts w:hint="eastAsia" w:ascii="宋体" w:hAnsi="宋体"/>
                <w:lang w:val="en-US" w:eastAsia="zh-CN"/>
              </w:rPr>
            </w:pPr>
            <w:r>
              <w:rPr>
                <w:rFonts w:hint="eastAsia" w:ascii="宋体" w:hAnsi="宋体"/>
              </w:rPr>
              <w:t>市值法</w:t>
            </w:r>
          </w:p>
        </w:tc>
      </w:tr>
      <w:tr w14:paraId="255E3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14:paraId="268750E8">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14:paraId="51134829">
            <w:pPr>
              <w:jc w:val="left"/>
              <w:rPr>
                <w:rFonts w:hint="eastAsia" w:ascii="宋体" w:hAnsi="宋体"/>
                <w:lang w:val="en-US" w:eastAsia="zh-CN"/>
              </w:rPr>
            </w:pPr>
            <w:r>
              <w:rPr>
                <w:rFonts w:hint="eastAsia" w:ascii="宋体" w:hAnsi="宋体"/>
              </w:rPr>
              <w:t>四川银行-四川银行定开系列3个月10号净值型理财产品</w:t>
            </w:r>
          </w:p>
        </w:tc>
      </w:tr>
      <w:tr w14:paraId="5B02D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FE5C408">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14:paraId="3978CB6E">
            <w:pPr>
              <w:jc w:val="left"/>
              <w:rPr>
                <w:rFonts w:hint="eastAsia" w:ascii="宋体" w:hAnsi="宋体"/>
                <w:lang w:val="en-US" w:eastAsia="zh-CN"/>
              </w:rPr>
            </w:pPr>
            <w:r>
              <w:rPr>
                <w:rFonts w:hint="eastAsia" w:ascii="宋体" w:hAnsi="宋体"/>
              </w:rPr>
              <w:t>128912158810235</w:t>
            </w:r>
          </w:p>
        </w:tc>
      </w:tr>
      <w:tr w14:paraId="7E9D5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400F709">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14:paraId="0D429D82">
            <w:pPr>
              <w:jc w:val="left"/>
              <w:rPr>
                <w:rFonts w:hint="eastAsia" w:ascii="宋体" w:hAnsi="宋体"/>
              </w:rPr>
            </w:pPr>
            <w:r>
              <w:rPr>
                <w:rFonts w:hint="eastAsia" w:ascii="宋体" w:hAnsi="宋体"/>
              </w:rPr>
              <w:t>招商银行成都分行营业部</w:t>
            </w:r>
          </w:p>
        </w:tc>
      </w:tr>
    </w:tbl>
    <w:p w14:paraId="1FE7995F">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14:paraId="20987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14:paraId="3B4AD7D7">
            <w:pPr>
              <w:jc w:val="center"/>
              <w:rPr>
                <w:rFonts w:ascii="宋体" w:hAnsi="宋体"/>
                <w:b/>
              </w:rPr>
            </w:pPr>
            <w:r>
              <w:rPr>
                <w:rFonts w:hint="eastAsia"/>
                <w:b/>
              </w:rPr>
              <w:t>阶段</w:t>
            </w:r>
          </w:p>
        </w:tc>
        <w:tc>
          <w:tcPr>
            <w:tcW w:w="5103" w:type="dxa"/>
            <w:shd w:val="clear" w:color="auto" w:fill="D9D9D9"/>
            <w:vAlign w:val="center"/>
          </w:tcPr>
          <w:p w14:paraId="57F6F489">
            <w:pPr>
              <w:jc w:val="center"/>
              <w:rPr>
                <w:rFonts w:ascii="宋体" w:hAnsi="宋体"/>
                <w:b/>
              </w:rPr>
            </w:pPr>
            <w:r>
              <w:rPr>
                <w:b/>
              </w:rPr>
              <w:t>净值增长率</w:t>
            </w:r>
            <w:r>
              <w:rPr>
                <w:rFonts w:hint="eastAsia"/>
                <w:b/>
              </w:rPr>
              <w:t>（%）</w:t>
            </w:r>
          </w:p>
        </w:tc>
      </w:tr>
      <w:tr w14:paraId="25C44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1BBE2008">
            <w:pPr>
              <w:jc w:val="center"/>
              <w:rPr>
                <w:rFonts w:ascii="宋体" w:hAnsi="宋体"/>
              </w:rPr>
            </w:pPr>
            <w:r>
              <w:rPr>
                <w:rFonts w:hint="eastAsia" w:ascii="宋体" w:hAnsi="宋体"/>
              </w:rPr>
              <w:t>当期（</w:t>
            </w:r>
            <w:r>
              <w:rPr>
                <w:rFonts w:ascii="宋体" w:hAnsi="宋体"/>
              </w:rPr>
              <w:t>2026-04-01</w:t>
            </w:r>
            <w:r>
              <w:rPr>
                <w:rFonts w:hint="eastAsia" w:ascii="宋体" w:hAnsi="宋体"/>
              </w:rPr>
              <w:t>至</w:t>
            </w:r>
            <w:r>
              <w:rPr>
                <w:rFonts w:ascii="宋体" w:hAnsi="宋体"/>
              </w:rPr>
              <w:t>2026-06-30</w:t>
            </w:r>
            <w:r>
              <w:rPr>
                <w:rFonts w:hint="eastAsia" w:ascii="宋体" w:hAnsi="宋体"/>
              </w:rPr>
              <w:t>）</w:t>
            </w:r>
          </w:p>
        </w:tc>
        <w:tc>
          <w:tcPr>
            <w:tcW w:w="5103" w:type="dxa"/>
            <w:vAlign w:val="center"/>
          </w:tcPr>
          <w:p w14:paraId="65B3575B">
            <w:pPr>
              <w:jc w:val="right"/>
            </w:pPr>
            <w:r>
              <w:t>0.49</w:t>
            </w:r>
          </w:p>
        </w:tc>
      </w:tr>
      <w:tr w14:paraId="6AE52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5DB2C47B">
            <w:pPr>
              <w:jc w:val="center"/>
              <w:rPr>
                <w:rFonts w:ascii="宋体" w:hAnsi="宋体"/>
              </w:rPr>
            </w:pPr>
            <w:r>
              <w:rPr>
                <w:rFonts w:hint="eastAsia" w:ascii="宋体" w:hAnsi="宋体"/>
              </w:rPr>
              <w:t>自产品成立日至今</w:t>
            </w:r>
          </w:p>
        </w:tc>
        <w:tc>
          <w:tcPr>
            <w:tcW w:w="5103" w:type="dxa"/>
            <w:vAlign w:val="center"/>
          </w:tcPr>
          <w:p w14:paraId="2B0AC6BC">
            <w:pPr>
              <w:jc w:val="right"/>
            </w:pPr>
            <w:r>
              <w:t>11.74</w:t>
            </w:r>
            <w:bookmarkStart w:id="1" w:name="OLE_LINK7"/>
            <w:bookmarkEnd w:id="1"/>
            <w:bookmarkStart w:id="2" w:name="OLE_LINK4"/>
            <w:bookmarkEnd w:id="2"/>
          </w:p>
        </w:tc>
      </w:tr>
    </w:tbl>
    <w:p w14:paraId="7AAAF3C3">
      <w:pPr>
        <w:spacing w:line="360" w:lineRule="auto"/>
        <w:ind w:left="420" w:leftChars="200"/>
        <w:jc w:val="left"/>
        <w:rPr>
          <w:rFonts w:ascii="宋体" w:hAnsi="宋体"/>
          <w:sz w:val="24"/>
        </w:rPr>
      </w:pPr>
      <w:r>
        <w:rPr>
          <w:rFonts w:ascii="宋体" w:hAnsi="宋体"/>
          <w:sz w:val="24"/>
        </w:rPr>
        <w:t xml:space="preserve"> </w:t>
      </w:r>
    </w:p>
    <w:p w14:paraId="32D3E490">
      <w:pPr>
        <w:pStyle w:val="40"/>
      </w:pPr>
      <w:r>
        <w:rPr>
          <w:rFonts w:hint="eastAsia"/>
        </w:rPr>
        <w:t>主要财务指标</w:t>
      </w:r>
    </w:p>
    <w:p w14:paraId="722E722A">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09BE9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14:paraId="0BBE1E86">
            <w:pPr>
              <w:jc w:val="left"/>
              <w:rPr>
                <w:rFonts w:ascii="宋体" w:hAnsi="宋体"/>
                <w:b/>
              </w:rPr>
            </w:pPr>
            <w:r>
              <w:rPr>
                <w:rFonts w:hint="eastAsia"/>
                <w:b/>
                <w:bCs/>
              </w:rPr>
              <w:t>项目</w:t>
            </w:r>
          </w:p>
        </w:tc>
        <w:tc>
          <w:tcPr>
            <w:tcW w:w="5027" w:type="dxa"/>
            <w:shd w:val="clear" w:color="auto" w:fill="D9D9D9"/>
            <w:vAlign w:val="center"/>
          </w:tcPr>
          <w:p w14:paraId="3E88B284">
            <w:pPr>
              <w:jc w:val="left"/>
              <w:rPr>
                <w:b/>
              </w:rPr>
            </w:pPr>
            <w:r>
              <w:rPr>
                <w:b/>
              </w:rPr>
              <w:t>2026-04-01</w:t>
            </w:r>
            <w:r>
              <w:rPr>
                <w:rFonts w:hint="eastAsia"/>
                <w:b/>
              </w:rPr>
              <w:t xml:space="preserve">至 </w:t>
            </w:r>
            <w:r>
              <w:rPr>
                <w:b/>
              </w:rPr>
              <w:t>2026-06-30</w:t>
            </w:r>
          </w:p>
        </w:tc>
      </w:tr>
      <w:tr w14:paraId="7F9DC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4ECAA67">
            <w:pPr>
              <w:rPr>
                <w:rFonts w:ascii="宋体" w:hAnsi="宋体"/>
              </w:rPr>
            </w:pPr>
            <w:r>
              <w:rPr>
                <w:rFonts w:hint="eastAsia" w:ascii="宋体" w:hAnsi="宋体"/>
                <w:szCs w:val="21"/>
              </w:rPr>
              <w:t>本期已实现收益</w:t>
            </w:r>
          </w:p>
        </w:tc>
        <w:tc>
          <w:tcPr>
            <w:tcW w:w="5027" w:type="dxa"/>
            <w:vAlign w:val="center"/>
          </w:tcPr>
          <w:p w14:paraId="363DB50E">
            <w:pPr>
              <w:jc w:val="right"/>
            </w:pPr>
            <w:r>
              <w:t>1,945,033.33</w:t>
            </w:r>
          </w:p>
        </w:tc>
      </w:tr>
      <w:tr w14:paraId="36475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4933F8C5">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14:paraId="1B68DECC">
            <w:pPr>
              <w:ind w:hanging="1"/>
              <w:jc w:val="right"/>
            </w:pPr>
            <w:r>
              <w:rPr>
                <w:b w:val="0"/>
                <w:i w:val="0"/>
                <w:strike w:val="0"/>
                <w:u w:val="none"/>
              </w:rPr>
              <w:t>2,845,970.47</w:t>
            </w:r>
          </w:p>
        </w:tc>
      </w:tr>
      <w:tr w14:paraId="421AE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0E3C011E">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14:paraId="03496069">
            <w:pPr>
              <w:ind w:hanging="1"/>
              <w:jc w:val="right"/>
            </w:pPr>
            <w:r>
              <w:rPr>
                <w:b w:val="0"/>
                <w:i w:val="0"/>
                <w:strike w:val="0"/>
                <w:u w:val="none"/>
              </w:rPr>
              <w:t>503,092,100.47</w:t>
            </w:r>
          </w:p>
        </w:tc>
      </w:tr>
      <w:tr w14:paraId="0CAFB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0D2214F2">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14:paraId="0CAA450E">
            <w:pPr>
              <w:ind w:hanging="1"/>
              <w:jc w:val="right"/>
            </w:pPr>
            <w:r>
              <w:rPr>
                <w:b w:val="0"/>
                <w:i w:val="0"/>
                <w:strike w:val="0"/>
                <w:u w:val="none"/>
              </w:rPr>
              <w:t>1.0016</w:t>
            </w:r>
          </w:p>
        </w:tc>
      </w:tr>
      <w:tr w14:paraId="35A08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814A34D">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14:paraId="558B05A6">
            <w:pPr>
              <w:jc w:val="right"/>
              <w:rPr>
                <w:rFonts w:hint="eastAsia"/>
                <w:lang w:val="en-US" w:eastAsia="zh-CN"/>
              </w:rPr>
            </w:pPr>
            <w:r>
              <w:rPr>
                <w:rFonts w:hint="eastAsia"/>
              </w:rPr>
              <w:t>1.1174</w:t>
            </w:r>
          </w:p>
        </w:tc>
      </w:tr>
      <w:tr w14:paraId="42B4C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8526017">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14:paraId="6447377E">
            <w:pPr>
              <w:jc w:val="right"/>
              <w:rPr>
                <w:rFonts w:hint="eastAsia"/>
                <w:lang w:val="en-US" w:eastAsia="zh-CN"/>
              </w:rPr>
            </w:pPr>
            <w:r>
              <w:rPr>
                <w:rFonts w:hint="eastAsia"/>
              </w:rPr>
              <w:t>503,092,100.47</w:t>
            </w:r>
          </w:p>
        </w:tc>
      </w:tr>
      <w:tr w14:paraId="71389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80749A7">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14:paraId="0F41D829">
            <w:pPr>
              <w:jc w:val="right"/>
              <w:rPr>
                <w:rFonts w:hint="eastAsia"/>
                <w:lang w:val="en-US" w:eastAsia="zh-CN"/>
              </w:rPr>
            </w:pPr>
            <w:r>
              <w:rPr>
                <w:rFonts w:hint="eastAsia"/>
              </w:rPr>
              <w:t>1.0016</w:t>
            </w:r>
          </w:p>
        </w:tc>
      </w:tr>
      <w:tr w14:paraId="098AC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DEEB771">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14:paraId="28B5066E">
            <w:pPr>
              <w:jc w:val="right"/>
              <w:rPr>
                <w:rFonts w:hint="eastAsia"/>
                <w:lang w:val="en-US" w:eastAsia="zh-CN"/>
              </w:rPr>
            </w:pPr>
            <w:r>
              <w:rPr>
                <w:rFonts w:hint="eastAsia"/>
              </w:rPr>
              <w:t>1.1174</w:t>
            </w:r>
          </w:p>
        </w:tc>
      </w:tr>
    </w:tbl>
    <w:p w14:paraId="44300337">
      <w:pPr>
        <w:tabs>
          <w:tab w:val="left" w:pos="3135"/>
        </w:tabs>
        <w:ind w:left="420" w:leftChars="200"/>
      </w:pPr>
    </w:p>
    <w:p w14:paraId="39C17FEF">
      <w:pPr>
        <w:pStyle w:val="40"/>
      </w:pPr>
      <w:r>
        <w:rPr>
          <w:rFonts w:hint="eastAsia"/>
        </w:rPr>
        <w:t>投资组合情况及</w:t>
      </w:r>
      <w:r>
        <w:t>流动性风险分析</w:t>
      </w:r>
    </w:p>
    <w:p w14:paraId="35255524">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1F0DA193">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6355E0CF">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30F00916">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00563782">
      <w:pPr>
        <w:pStyle w:val="41"/>
        <w:spacing w:before="156" w:after="156"/>
      </w:pPr>
      <w:r>
        <w:rPr>
          <w:rFonts w:hint="eastAsia"/>
          <w:b w:val="0"/>
        </w:rPr>
        <w:t>期末资产组合情况</w:t>
      </w:r>
    </w:p>
    <w:p w14:paraId="60C0F383">
      <w:pPr>
        <w:jc w:val="right"/>
      </w:pPr>
    </w:p>
    <w:p w14:paraId="68BBC075">
      <w:pPr>
        <w:jc w:val="right"/>
      </w:pPr>
    </w:p>
    <w:p w14:paraId="1901264E">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63438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25218514">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14:paraId="4AE713CB">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14:paraId="395610DB">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14:paraId="26C43A14">
            <w:pPr>
              <w:jc w:val="center"/>
              <w:rPr>
                <w:rFonts w:ascii="宋体" w:hAnsi="宋体"/>
                <w:b/>
                <w:szCs w:val="21"/>
              </w:rPr>
            </w:pPr>
            <w:r>
              <w:rPr>
                <w:rFonts w:hint="eastAsia" w:ascii="宋体" w:hAnsi="宋体"/>
                <w:b/>
                <w:szCs w:val="21"/>
              </w:rPr>
              <w:t>间接</w:t>
            </w:r>
            <w:r>
              <w:rPr>
                <w:rFonts w:ascii="宋体" w:hAnsi="宋体"/>
                <w:b/>
                <w:szCs w:val="21"/>
              </w:rPr>
              <w:t>投资</w:t>
            </w:r>
          </w:p>
        </w:tc>
      </w:tr>
      <w:tr w14:paraId="10233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42B12495">
            <w:pPr>
              <w:jc w:val="center"/>
              <w:rPr>
                <w:rFonts w:ascii="宋体" w:hAnsi="宋体"/>
                <w:b/>
                <w:szCs w:val="21"/>
              </w:rPr>
            </w:pPr>
          </w:p>
        </w:tc>
        <w:tc>
          <w:tcPr>
            <w:tcW w:w="1447" w:type="dxa"/>
            <w:vMerge w:val="continue"/>
            <w:shd w:val="clear" w:color="auto" w:fill="D9D9D9"/>
            <w:vAlign w:val="center"/>
          </w:tcPr>
          <w:p w14:paraId="48A20E8E">
            <w:pPr>
              <w:jc w:val="center"/>
              <w:rPr>
                <w:rFonts w:ascii="宋体" w:hAnsi="宋体"/>
                <w:b/>
                <w:szCs w:val="21"/>
              </w:rPr>
            </w:pPr>
          </w:p>
        </w:tc>
        <w:tc>
          <w:tcPr>
            <w:tcW w:w="1697" w:type="dxa"/>
            <w:shd w:val="clear" w:color="auto" w:fill="D9D9D9"/>
            <w:vAlign w:val="center"/>
          </w:tcPr>
          <w:p w14:paraId="1DDE83EC">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14:paraId="2D85CE5F">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14:paraId="2C8B1F0D">
            <w:pPr>
              <w:jc w:val="center"/>
              <w:rPr>
                <w:rFonts w:ascii="宋体" w:hAnsi="宋体"/>
                <w:b/>
                <w:szCs w:val="21"/>
              </w:rPr>
            </w:pPr>
            <w:r>
              <w:rPr>
                <w:rFonts w:hint="eastAsia" w:ascii="宋体" w:hAnsi="宋体"/>
                <w:b/>
                <w:szCs w:val="21"/>
              </w:rPr>
              <w:t>金额</w:t>
            </w:r>
          </w:p>
        </w:tc>
        <w:tc>
          <w:tcPr>
            <w:tcW w:w="1705" w:type="dxa"/>
            <w:shd w:val="clear" w:color="auto" w:fill="D9D9D9"/>
          </w:tcPr>
          <w:p w14:paraId="58186D24">
            <w:pPr>
              <w:jc w:val="center"/>
              <w:rPr>
                <w:rFonts w:ascii="宋体" w:hAnsi="宋体"/>
                <w:b/>
                <w:szCs w:val="21"/>
              </w:rPr>
            </w:pPr>
            <w:r>
              <w:rPr>
                <w:rFonts w:hint="eastAsia" w:ascii="宋体" w:hAnsi="宋体"/>
                <w:b/>
                <w:szCs w:val="21"/>
              </w:rPr>
              <w:t>占产品总资产的比例（%）</w:t>
            </w:r>
          </w:p>
        </w:tc>
      </w:tr>
      <w:tr w14:paraId="542A0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1745ECE">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14:paraId="7CD3DED4">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14:paraId="4E1FF1C8">
            <w:pPr>
              <w:jc w:val="right"/>
            </w:pPr>
            <w:r>
              <w:t>0.00</w:t>
            </w:r>
          </w:p>
        </w:tc>
        <w:tc>
          <w:tcPr>
            <w:tcW w:w="1749" w:type="dxa"/>
            <w:shd w:val="clear" w:color="auto" w:fill="auto"/>
            <w:vAlign w:val="center"/>
          </w:tcPr>
          <w:p w14:paraId="1B0E4226">
            <w:pPr>
              <w:jc w:val="right"/>
            </w:pPr>
            <w:r>
              <w:t>0.00</w:t>
            </w:r>
          </w:p>
        </w:tc>
        <w:tc>
          <w:tcPr>
            <w:tcW w:w="1653" w:type="dxa"/>
            <w:vAlign w:val="center"/>
          </w:tcPr>
          <w:p w14:paraId="563D6510">
            <w:pPr>
              <w:jc w:val="right"/>
            </w:pPr>
            <w:r>
              <w:t>0.00</w:t>
            </w:r>
          </w:p>
        </w:tc>
        <w:tc>
          <w:tcPr>
            <w:tcW w:w="1705" w:type="dxa"/>
            <w:vAlign w:val="center"/>
          </w:tcPr>
          <w:p w14:paraId="568A9846">
            <w:pPr>
              <w:jc w:val="right"/>
            </w:pPr>
            <w:r>
              <w:t>0.00</w:t>
            </w:r>
          </w:p>
        </w:tc>
      </w:tr>
      <w:tr w14:paraId="0E852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2579B4C3">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7E521793">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14:paraId="2E4E9EF4">
            <w:pPr>
              <w:jc w:val="right"/>
            </w:pPr>
            <w:r>
              <w:t>0.00</w:t>
            </w:r>
          </w:p>
        </w:tc>
        <w:tc>
          <w:tcPr>
            <w:tcW w:w="1749" w:type="dxa"/>
            <w:shd w:val="clear" w:color="auto" w:fill="auto"/>
            <w:vAlign w:val="center"/>
          </w:tcPr>
          <w:p w14:paraId="40C2A182">
            <w:pPr>
              <w:jc w:val="right"/>
            </w:pPr>
            <w:r>
              <w:t>0.00</w:t>
            </w:r>
          </w:p>
        </w:tc>
        <w:tc>
          <w:tcPr>
            <w:tcW w:w="1653" w:type="dxa"/>
            <w:vAlign w:val="center"/>
          </w:tcPr>
          <w:p w14:paraId="6D2D9C89">
            <w:pPr>
              <w:jc w:val="right"/>
            </w:pPr>
            <w:r>
              <w:t>0.00</w:t>
            </w:r>
          </w:p>
        </w:tc>
        <w:tc>
          <w:tcPr>
            <w:tcW w:w="1705" w:type="dxa"/>
            <w:vAlign w:val="center"/>
          </w:tcPr>
          <w:p w14:paraId="6890117D">
            <w:pPr>
              <w:jc w:val="right"/>
            </w:pPr>
            <w:r>
              <w:t>0.00</w:t>
            </w:r>
          </w:p>
        </w:tc>
      </w:tr>
      <w:tr w14:paraId="5725D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04E4ACED">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6CADE1AF">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14:paraId="241D5A98">
            <w:pPr>
              <w:jc w:val="right"/>
            </w:pPr>
          </w:p>
        </w:tc>
        <w:tc>
          <w:tcPr>
            <w:tcW w:w="1749" w:type="dxa"/>
            <w:shd w:val="clear" w:color="auto" w:fill="auto"/>
            <w:vAlign w:val="center"/>
          </w:tcPr>
          <w:p w14:paraId="3AA53C55">
            <w:pPr>
              <w:jc w:val="right"/>
            </w:pPr>
          </w:p>
        </w:tc>
        <w:tc>
          <w:tcPr>
            <w:tcW w:w="1653" w:type="dxa"/>
            <w:vAlign w:val="center"/>
          </w:tcPr>
          <w:p w14:paraId="731892A7">
            <w:pPr>
              <w:jc w:val="right"/>
            </w:pPr>
          </w:p>
        </w:tc>
        <w:tc>
          <w:tcPr>
            <w:tcW w:w="1705" w:type="dxa"/>
            <w:vAlign w:val="center"/>
          </w:tcPr>
          <w:p w14:paraId="7BB11B0A">
            <w:pPr>
              <w:jc w:val="right"/>
            </w:pPr>
          </w:p>
        </w:tc>
      </w:tr>
      <w:tr w14:paraId="04447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5A105B3">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14:paraId="2A7C6F96">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14:paraId="578C44B2">
            <w:pPr>
              <w:jc w:val="right"/>
            </w:pPr>
            <w:r>
              <w:t>0.00</w:t>
            </w:r>
          </w:p>
        </w:tc>
        <w:tc>
          <w:tcPr>
            <w:tcW w:w="1749" w:type="dxa"/>
            <w:shd w:val="clear" w:color="auto" w:fill="auto"/>
            <w:vAlign w:val="center"/>
          </w:tcPr>
          <w:p w14:paraId="6185556A">
            <w:pPr>
              <w:jc w:val="right"/>
            </w:pPr>
            <w:r>
              <w:t>0.00</w:t>
            </w:r>
          </w:p>
        </w:tc>
        <w:tc>
          <w:tcPr>
            <w:tcW w:w="1653" w:type="dxa"/>
            <w:vAlign w:val="center"/>
          </w:tcPr>
          <w:p w14:paraId="49663875">
            <w:pPr>
              <w:jc w:val="right"/>
            </w:pPr>
            <w:r>
              <w:t>0.00</w:t>
            </w:r>
          </w:p>
        </w:tc>
        <w:tc>
          <w:tcPr>
            <w:tcW w:w="1705" w:type="dxa"/>
            <w:vAlign w:val="center"/>
          </w:tcPr>
          <w:p w14:paraId="5326043E">
            <w:pPr>
              <w:jc w:val="right"/>
            </w:pPr>
            <w:r>
              <w:t>0.00</w:t>
            </w:r>
          </w:p>
        </w:tc>
      </w:tr>
      <w:tr w14:paraId="61406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B5F8388">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14:paraId="2AC07C58">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14:paraId="75C8B2CA">
            <w:pPr>
              <w:jc w:val="right"/>
            </w:pPr>
            <w:r>
              <w:t>359,521,741.01</w:t>
            </w:r>
          </w:p>
        </w:tc>
        <w:tc>
          <w:tcPr>
            <w:tcW w:w="1749" w:type="dxa"/>
            <w:shd w:val="clear" w:color="auto" w:fill="auto"/>
            <w:vAlign w:val="center"/>
          </w:tcPr>
          <w:p w14:paraId="7F603748">
            <w:pPr>
              <w:jc w:val="right"/>
            </w:pPr>
            <w:r>
              <w:t>70.58</w:t>
            </w:r>
          </w:p>
        </w:tc>
        <w:tc>
          <w:tcPr>
            <w:tcW w:w="1653" w:type="dxa"/>
            <w:vAlign w:val="center"/>
          </w:tcPr>
          <w:p w14:paraId="69BCCE20">
            <w:pPr>
              <w:jc w:val="right"/>
            </w:pPr>
            <w:r>
              <w:t>0.00</w:t>
            </w:r>
          </w:p>
        </w:tc>
        <w:tc>
          <w:tcPr>
            <w:tcW w:w="1705" w:type="dxa"/>
            <w:vAlign w:val="center"/>
          </w:tcPr>
          <w:p w14:paraId="66B95997">
            <w:pPr>
              <w:jc w:val="right"/>
            </w:pPr>
            <w:r>
              <w:t>0.00</w:t>
            </w:r>
          </w:p>
        </w:tc>
      </w:tr>
      <w:tr w14:paraId="531D8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11785DEA">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14:paraId="0930DC97">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14:paraId="3452C0C9">
            <w:pPr>
              <w:jc w:val="right"/>
            </w:pPr>
            <w:r>
              <w:t>359,521,741.01</w:t>
            </w:r>
          </w:p>
        </w:tc>
        <w:tc>
          <w:tcPr>
            <w:tcW w:w="1749" w:type="dxa"/>
            <w:shd w:val="clear" w:color="auto" w:fill="auto"/>
            <w:vAlign w:val="center"/>
          </w:tcPr>
          <w:p w14:paraId="042BFBBC">
            <w:pPr>
              <w:jc w:val="right"/>
            </w:pPr>
            <w:r>
              <w:t>70.58</w:t>
            </w:r>
          </w:p>
        </w:tc>
        <w:tc>
          <w:tcPr>
            <w:tcW w:w="1653" w:type="dxa"/>
            <w:vAlign w:val="center"/>
          </w:tcPr>
          <w:p w14:paraId="5495E5BF">
            <w:pPr>
              <w:jc w:val="right"/>
            </w:pPr>
            <w:r>
              <w:t>0.00</w:t>
            </w:r>
          </w:p>
        </w:tc>
        <w:tc>
          <w:tcPr>
            <w:tcW w:w="1705" w:type="dxa"/>
            <w:vAlign w:val="center"/>
          </w:tcPr>
          <w:p w14:paraId="1B8E75AF">
            <w:pPr>
              <w:jc w:val="right"/>
            </w:pPr>
            <w:r>
              <w:t>0.00</w:t>
            </w:r>
          </w:p>
        </w:tc>
      </w:tr>
      <w:tr w14:paraId="45F08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37A7FEAD">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74DCFF60">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14:paraId="5BB71725">
            <w:pPr>
              <w:jc w:val="right"/>
            </w:pPr>
            <w:r>
              <w:t>0.00</w:t>
            </w:r>
          </w:p>
        </w:tc>
        <w:tc>
          <w:tcPr>
            <w:tcW w:w="1749" w:type="dxa"/>
            <w:shd w:val="clear" w:color="auto" w:fill="auto"/>
            <w:vAlign w:val="center"/>
          </w:tcPr>
          <w:p w14:paraId="22B82BA4">
            <w:pPr>
              <w:jc w:val="right"/>
            </w:pPr>
            <w:r>
              <w:t>0.00</w:t>
            </w:r>
          </w:p>
        </w:tc>
        <w:tc>
          <w:tcPr>
            <w:tcW w:w="1653" w:type="dxa"/>
            <w:vAlign w:val="center"/>
          </w:tcPr>
          <w:p w14:paraId="15115767">
            <w:pPr>
              <w:jc w:val="right"/>
            </w:pPr>
            <w:r>
              <w:t>0.00</w:t>
            </w:r>
          </w:p>
        </w:tc>
        <w:tc>
          <w:tcPr>
            <w:tcW w:w="1705" w:type="dxa"/>
            <w:vAlign w:val="center"/>
          </w:tcPr>
          <w:p w14:paraId="71A7B664">
            <w:pPr>
              <w:jc w:val="right"/>
            </w:pPr>
            <w:r>
              <w:t>0.00</w:t>
            </w:r>
          </w:p>
        </w:tc>
      </w:tr>
      <w:tr w14:paraId="66E49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63EED2E">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14:paraId="654D9000">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14:paraId="1E63538D">
            <w:pPr>
              <w:jc w:val="right"/>
            </w:pPr>
            <w:r>
              <w:t>0.00</w:t>
            </w:r>
          </w:p>
        </w:tc>
        <w:tc>
          <w:tcPr>
            <w:tcW w:w="1749" w:type="dxa"/>
            <w:shd w:val="clear" w:color="auto" w:fill="auto"/>
            <w:vAlign w:val="center"/>
          </w:tcPr>
          <w:p w14:paraId="10F62733">
            <w:pPr>
              <w:jc w:val="right"/>
            </w:pPr>
            <w:r>
              <w:t>0.00</w:t>
            </w:r>
          </w:p>
        </w:tc>
        <w:tc>
          <w:tcPr>
            <w:tcW w:w="1653" w:type="dxa"/>
            <w:vAlign w:val="center"/>
          </w:tcPr>
          <w:p w14:paraId="0F917874">
            <w:pPr>
              <w:jc w:val="right"/>
            </w:pPr>
            <w:r>
              <w:t>0.00</w:t>
            </w:r>
          </w:p>
        </w:tc>
        <w:tc>
          <w:tcPr>
            <w:tcW w:w="1705" w:type="dxa"/>
            <w:vAlign w:val="center"/>
          </w:tcPr>
          <w:p w14:paraId="1F78877D">
            <w:pPr>
              <w:jc w:val="right"/>
            </w:pPr>
            <w:r>
              <w:t>0.00</w:t>
            </w:r>
          </w:p>
        </w:tc>
      </w:tr>
      <w:tr w14:paraId="3B353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658ABBA">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79DF034E">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14:paraId="6117C5F8">
            <w:pPr>
              <w:jc w:val="right"/>
            </w:pPr>
          </w:p>
        </w:tc>
        <w:tc>
          <w:tcPr>
            <w:tcW w:w="1749" w:type="dxa"/>
            <w:shd w:val="clear" w:color="auto" w:fill="auto"/>
            <w:vAlign w:val="center"/>
          </w:tcPr>
          <w:p w14:paraId="08474A03">
            <w:pPr>
              <w:jc w:val="right"/>
            </w:pPr>
          </w:p>
        </w:tc>
        <w:tc>
          <w:tcPr>
            <w:tcW w:w="1653" w:type="dxa"/>
            <w:vAlign w:val="center"/>
          </w:tcPr>
          <w:p w14:paraId="2AD85C1D">
            <w:pPr>
              <w:jc w:val="right"/>
            </w:pPr>
          </w:p>
        </w:tc>
        <w:tc>
          <w:tcPr>
            <w:tcW w:w="1705" w:type="dxa"/>
            <w:vAlign w:val="center"/>
          </w:tcPr>
          <w:p w14:paraId="57B32F95">
            <w:pPr>
              <w:jc w:val="right"/>
            </w:pPr>
          </w:p>
        </w:tc>
      </w:tr>
      <w:tr w14:paraId="106D7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3283FCF">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5A34190B">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14:paraId="3BB9DA4C">
            <w:pPr>
              <w:jc w:val="right"/>
            </w:pPr>
          </w:p>
        </w:tc>
        <w:tc>
          <w:tcPr>
            <w:tcW w:w="1749" w:type="dxa"/>
            <w:shd w:val="clear" w:color="auto" w:fill="auto"/>
            <w:vAlign w:val="center"/>
          </w:tcPr>
          <w:p w14:paraId="30D90593">
            <w:pPr>
              <w:jc w:val="right"/>
            </w:pPr>
          </w:p>
        </w:tc>
        <w:tc>
          <w:tcPr>
            <w:tcW w:w="1653" w:type="dxa"/>
            <w:vAlign w:val="center"/>
          </w:tcPr>
          <w:p w14:paraId="0A95FD12">
            <w:pPr>
              <w:jc w:val="right"/>
            </w:pPr>
          </w:p>
        </w:tc>
        <w:tc>
          <w:tcPr>
            <w:tcW w:w="1705" w:type="dxa"/>
            <w:vAlign w:val="center"/>
          </w:tcPr>
          <w:p w14:paraId="4FA9F9B4">
            <w:pPr>
              <w:jc w:val="right"/>
            </w:pPr>
          </w:p>
        </w:tc>
      </w:tr>
      <w:tr w14:paraId="08C51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1A772AF">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14:paraId="5445E017">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14:paraId="39636E12">
            <w:pPr>
              <w:jc w:val="right"/>
            </w:pPr>
            <w:r>
              <w:t>0.00</w:t>
            </w:r>
          </w:p>
        </w:tc>
        <w:tc>
          <w:tcPr>
            <w:tcW w:w="1749" w:type="dxa"/>
            <w:shd w:val="clear" w:color="auto" w:fill="auto"/>
            <w:vAlign w:val="center"/>
          </w:tcPr>
          <w:p w14:paraId="319983DF">
            <w:pPr>
              <w:jc w:val="right"/>
            </w:pPr>
            <w:r>
              <w:t>0.00</w:t>
            </w:r>
          </w:p>
        </w:tc>
        <w:tc>
          <w:tcPr>
            <w:tcW w:w="1653" w:type="dxa"/>
            <w:vAlign w:val="center"/>
          </w:tcPr>
          <w:p w14:paraId="48A9BD36">
            <w:pPr>
              <w:jc w:val="right"/>
            </w:pPr>
            <w:r>
              <w:t>0.00</w:t>
            </w:r>
          </w:p>
        </w:tc>
        <w:tc>
          <w:tcPr>
            <w:tcW w:w="1705" w:type="dxa"/>
            <w:vAlign w:val="center"/>
          </w:tcPr>
          <w:p w14:paraId="60BC2530">
            <w:pPr>
              <w:jc w:val="right"/>
            </w:pPr>
            <w:r>
              <w:t>0.00</w:t>
            </w:r>
          </w:p>
        </w:tc>
      </w:tr>
      <w:tr w14:paraId="21A59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896A8B1">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6364FCB4">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14:paraId="568EF3E5">
            <w:pPr>
              <w:jc w:val="right"/>
            </w:pPr>
          </w:p>
        </w:tc>
        <w:tc>
          <w:tcPr>
            <w:tcW w:w="1749" w:type="dxa"/>
            <w:shd w:val="clear" w:color="auto" w:fill="auto"/>
            <w:vAlign w:val="center"/>
          </w:tcPr>
          <w:p w14:paraId="06F7050C">
            <w:pPr>
              <w:jc w:val="right"/>
            </w:pPr>
          </w:p>
        </w:tc>
        <w:tc>
          <w:tcPr>
            <w:tcW w:w="1653" w:type="dxa"/>
            <w:vAlign w:val="center"/>
          </w:tcPr>
          <w:p w14:paraId="7639F51E">
            <w:pPr>
              <w:jc w:val="right"/>
            </w:pPr>
          </w:p>
        </w:tc>
        <w:tc>
          <w:tcPr>
            <w:tcW w:w="1705" w:type="dxa"/>
            <w:vAlign w:val="center"/>
          </w:tcPr>
          <w:p w14:paraId="6FD389C6">
            <w:pPr>
              <w:jc w:val="right"/>
            </w:pPr>
          </w:p>
        </w:tc>
      </w:tr>
      <w:tr w14:paraId="7FB0C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CAC9470">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14:paraId="41B257B8">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14:paraId="7F1B40E0">
            <w:pPr>
              <w:jc w:val="right"/>
            </w:pPr>
            <w:r>
              <w:t>107,000,214.00</w:t>
            </w:r>
          </w:p>
        </w:tc>
        <w:tc>
          <w:tcPr>
            <w:tcW w:w="1749" w:type="dxa"/>
            <w:shd w:val="clear" w:color="auto" w:fill="auto"/>
            <w:vAlign w:val="center"/>
          </w:tcPr>
          <w:p w14:paraId="36BB3B20">
            <w:pPr>
              <w:jc w:val="right"/>
            </w:pPr>
            <w:r>
              <w:t>21.01</w:t>
            </w:r>
          </w:p>
        </w:tc>
        <w:tc>
          <w:tcPr>
            <w:tcW w:w="1653" w:type="dxa"/>
            <w:vAlign w:val="center"/>
          </w:tcPr>
          <w:p w14:paraId="0D6E2483">
            <w:pPr>
              <w:jc w:val="right"/>
            </w:pPr>
            <w:r>
              <w:t>0.00</w:t>
            </w:r>
          </w:p>
        </w:tc>
        <w:tc>
          <w:tcPr>
            <w:tcW w:w="1705" w:type="dxa"/>
            <w:vAlign w:val="center"/>
          </w:tcPr>
          <w:p w14:paraId="0D37AD6C">
            <w:pPr>
              <w:jc w:val="right"/>
            </w:pPr>
            <w:r>
              <w:t>0.00</w:t>
            </w:r>
          </w:p>
        </w:tc>
      </w:tr>
      <w:tr w14:paraId="68885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4AA65B1">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7E3875A0">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14:paraId="3D932C21">
            <w:pPr>
              <w:jc w:val="right"/>
            </w:pPr>
            <w:r>
              <w:t>0.00</w:t>
            </w:r>
          </w:p>
        </w:tc>
        <w:tc>
          <w:tcPr>
            <w:tcW w:w="1749" w:type="dxa"/>
            <w:shd w:val="clear" w:color="auto" w:fill="auto"/>
            <w:vAlign w:val="center"/>
          </w:tcPr>
          <w:p w14:paraId="1A6B9087">
            <w:pPr>
              <w:jc w:val="right"/>
            </w:pPr>
            <w:r>
              <w:t>0.00</w:t>
            </w:r>
          </w:p>
        </w:tc>
        <w:tc>
          <w:tcPr>
            <w:tcW w:w="1653" w:type="dxa"/>
            <w:vAlign w:val="center"/>
          </w:tcPr>
          <w:p w14:paraId="269DAE06">
            <w:pPr>
              <w:jc w:val="right"/>
            </w:pPr>
            <w:r>
              <w:t>0.00</w:t>
            </w:r>
          </w:p>
        </w:tc>
        <w:tc>
          <w:tcPr>
            <w:tcW w:w="1705" w:type="dxa"/>
            <w:vAlign w:val="center"/>
          </w:tcPr>
          <w:p w14:paraId="711FD669">
            <w:pPr>
              <w:jc w:val="right"/>
            </w:pPr>
            <w:r>
              <w:t>0.00</w:t>
            </w:r>
          </w:p>
        </w:tc>
      </w:tr>
      <w:tr w14:paraId="60673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49E95D8">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14:paraId="4141CEDA">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14:paraId="77906A2E">
            <w:pPr>
              <w:jc w:val="right"/>
            </w:pPr>
          </w:p>
        </w:tc>
        <w:tc>
          <w:tcPr>
            <w:tcW w:w="1749" w:type="dxa"/>
            <w:shd w:val="clear" w:color="auto" w:fill="auto"/>
            <w:vAlign w:val="center"/>
          </w:tcPr>
          <w:p w14:paraId="2DCFAB02">
            <w:pPr>
              <w:jc w:val="right"/>
            </w:pPr>
          </w:p>
        </w:tc>
        <w:tc>
          <w:tcPr>
            <w:tcW w:w="1653" w:type="dxa"/>
            <w:vAlign w:val="center"/>
          </w:tcPr>
          <w:p w14:paraId="08754C7C">
            <w:pPr>
              <w:jc w:val="right"/>
            </w:pPr>
          </w:p>
        </w:tc>
        <w:tc>
          <w:tcPr>
            <w:tcW w:w="1705" w:type="dxa"/>
            <w:vAlign w:val="center"/>
          </w:tcPr>
          <w:p w14:paraId="0E77A482">
            <w:pPr>
              <w:jc w:val="right"/>
            </w:pPr>
          </w:p>
        </w:tc>
      </w:tr>
      <w:tr w14:paraId="67BF5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3497A84">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14:paraId="016F11E3">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14:paraId="149E7506">
            <w:pPr>
              <w:jc w:val="right"/>
            </w:pPr>
            <w:r>
              <w:t>26,777,896.70</w:t>
            </w:r>
          </w:p>
        </w:tc>
        <w:tc>
          <w:tcPr>
            <w:tcW w:w="1749" w:type="dxa"/>
            <w:shd w:val="clear" w:color="auto" w:fill="auto"/>
            <w:vAlign w:val="center"/>
          </w:tcPr>
          <w:p w14:paraId="2F43AA04">
            <w:pPr>
              <w:jc w:val="right"/>
            </w:pPr>
            <w:r>
              <w:t>5.26</w:t>
            </w:r>
          </w:p>
        </w:tc>
        <w:tc>
          <w:tcPr>
            <w:tcW w:w="1653" w:type="dxa"/>
            <w:vAlign w:val="center"/>
          </w:tcPr>
          <w:p w14:paraId="49807146">
            <w:pPr>
              <w:jc w:val="right"/>
            </w:pPr>
            <w:r>
              <w:t>0.00</w:t>
            </w:r>
          </w:p>
        </w:tc>
        <w:tc>
          <w:tcPr>
            <w:tcW w:w="1705" w:type="dxa"/>
            <w:vAlign w:val="center"/>
          </w:tcPr>
          <w:p w14:paraId="1E2CAB64">
            <w:pPr>
              <w:jc w:val="right"/>
            </w:pPr>
            <w:r>
              <w:t>0.00</w:t>
            </w:r>
          </w:p>
        </w:tc>
      </w:tr>
      <w:tr w14:paraId="74C78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F8DB011">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14:paraId="7FB3100C">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14:paraId="50F22D32">
            <w:pPr>
              <w:jc w:val="right"/>
            </w:pPr>
            <w:r>
              <w:t>0.00</w:t>
            </w:r>
          </w:p>
        </w:tc>
        <w:tc>
          <w:tcPr>
            <w:tcW w:w="1749" w:type="dxa"/>
            <w:shd w:val="clear" w:color="auto" w:fill="auto"/>
            <w:vAlign w:val="center"/>
          </w:tcPr>
          <w:p w14:paraId="48FC0714">
            <w:pPr>
              <w:jc w:val="right"/>
            </w:pPr>
            <w:r>
              <w:t>0.00</w:t>
            </w:r>
          </w:p>
        </w:tc>
        <w:tc>
          <w:tcPr>
            <w:tcW w:w="1653" w:type="dxa"/>
            <w:vAlign w:val="center"/>
          </w:tcPr>
          <w:p w14:paraId="01AF324E">
            <w:pPr>
              <w:jc w:val="right"/>
            </w:pPr>
            <w:r>
              <w:t>0.00</w:t>
            </w:r>
          </w:p>
        </w:tc>
        <w:tc>
          <w:tcPr>
            <w:tcW w:w="1705" w:type="dxa"/>
            <w:vAlign w:val="center"/>
          </w:tcPr>
          <w:p w14:paraId="3B0F5EA7">
            <w:pPr>
              <w:jc w:val="right"/>
            </w:pPr>
            <w:r>
              <w:t>0.00</w:t>
            </w:r>
          </w:p>
        </w:tc>
      </w:tr>
      <w:tr w14:paraId="420EE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816CBB9">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14:paraId="0A9E12A0">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14:paraId="2F444A75">
            <w:pPr>
              <w:jc w:val="right"/>
            </w:pPr>
            <w:r>
              <w:t>0.00</w:t>
            </w:r>
          </w:p>
        </w:tc>
        <w:tc>
          <w:tcPr>
            <w:tcW w:w="1749" w:type="dxa"/>
            <w:shd w:val="clear" w:color="auto" w:fill="auto"/>
            <w:vAlign w:val="center"/>
          </w:tcPr>
          <w:p w14:paraId="50CD414D">
            <w:pPr>
              <w:jc w:val="right"/>
            </w:pPr>
            <w:r>
              <w:t>0.00</w:t>
            </w:r>
          </w:p>
        </w:tc>
        <w:tc>
          <w:tcPr>
            <w:tcW w:w="1653" w:type="dxa"/>
            <w:vAlign w:val="center"/>
          </w:tcPr>
          <w:p w14:paraId="365CFA46">
            <w:pPr>
              <w:jc w:val="right"/>
            </w:pPr>
            <w:r>
              <w:t>0.00</w:t>
            </w:r>
          </w:p>
        </w:tc>
        <w:tc>
          <w:tcPr>
            <w:tcW w:w="1705" w:type="dxa"/>
            <w:vAlign w:val="center"/>
          </w:tcPr>
          <w:p w14:paraId="0950EF48">
            <w:pPr>
              <w:jc w:val="right"/>
            </w:pPr>
            <w:r>
              <w:t>0.00</w:t>
            </w:r>
          </w:p>
        </w:tc>
      </w:tr>
      <w:tr w14:paraId="73DF4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105D978">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14:paraId="7654C766">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14:paraId="160E1E17">
            <w:pPr>
              <w:jc w:val="right"/>
            </w:pPr>
            <w:r>
              <w:t>16,077,374.46</w:t>
            </w:r>
          </w:p>
        </w:tc>
        <w:tc>
          <w:tcPr>
            <w:tcW w:w="1749" w:type="dxa"/>
            <w:shd w:val="clear" w:color="auto" w:fill="auto"/>
            <w:vAlign w:val="center"/>
          </w:tcPr>
          <w:p w14:paraId="0176D3C7">
            <w:pPr>
              <w:jc w:val="right"/>
            </w:pPr>
            <w:r>
              <w:t>3.16</w:t>
            </w:r>
          </w:p>
        </w:tc>
        <w:tc>
          <w:tcPr>
            <w:tcW w:w="1653" w:type="dxa"/>
            <w:vAlign w:val="center"/>
          </w:tcPr>
          <w:p w14:paraId="551853E6">
            <w:pPr>
              <w:jc w:val="right"/>
            </w:pPr>
            <w:r>
              <w:t>0.00</w:t>
            </w:r>
          </w:p>
        </w:tc>
        <w:tc>
          <w:tcPr>
            <w:tcW w:w="1705" w:type="dxa"/>
            <w:vAlign w:val="center"/>
          </w:tcPr>
          <w:p w14:paraId="525E4180">
            <w:pPr>
              <w:jc w:val="right"/>
            </w:pPr>
            <w:r>
              <w:t>0.00</w:t>
            </w:r>
          </w:p>
        </w:tc>
      </w:tr>
      <w:tr w14:paraId="07233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39678B81">
            <w:pPr>
              <w:jc w:val="left"/>
              <w:rPr>
                <w:rFonts w:ascii="宋体" w:hAnsi="宋体"/>
                <w:szCs w:val="21"/>
              </w:rPr>
            </w:pPr>
          </w:p>
        </w:tc>
        <w:tc>
          <w:tcPr>
            <w:tcW w:w="1447" w:type="dxa"/>
            <w:shd w:val="clear" w:color="auto" w:fill="auto"/>
          </w:tcPr>
          <w:p w14:paraId="65126317">
            <w:pPr>
              <w:jc w:val="left"/>
              <w:rPr>
                <w:rFonts w:ascii="宋体" w:hAnsi="宋体"/>
                <w:szCs w:val="21"/>
              </w:rPr>
            </w:pPr>
            <w:r>
              <w:rPr>
                <w:rFonts w:hint="eastAsia" w:ascii="宋体" w:hAnsi="宋体"/>
                <w:szCs w:val="21"/>
              </w:rPr>
              <w:t>合计</w:t>
            </w:r>
          </w:p>
        </w:tc>
        <w:tc>
          <w:tcPr>
            <w:tcW w:w="1697" w:type="dxa"/>
            <w:shd w:val="clear" w:color="auto" w:fill="auto"/>
          </w:tcPr>
          <w:p w14:paraId="40595CBA">
            <w:pPr>
              <w:jc w:val="right"/>
            </w:pPr>
            <w:r>
              <w:t>509,377,226.17</w:t>
            </w:r>
          </w:p>
        </w:tc>
        <w:tc>
          <w:tcPr>
            <w:tcW w:w="1749" w:type="dxa"/>
            <w:shd w:val="clear" w:color="auto" w:fill="auto"/>
          </w:tcPr>
          <w:p w14:paraId="1D6952DA">
            <w:pPr>
              <w:jc w:val="right"/>
            </w:pPr>
            <w:r>
              <w:t>100.00</w:t>
            </w:r>
          </w:p>
        </w:tc>
        <w:tc>
          <w:tcPr>
            <w:tcW w:w="1653" w:type="dxa"/>
          </w:tcPr>
          <w:p w14:paraId="1638E9AF">
            <w:pPr>
              <w:jc w:val="right"/>
            </w:pPr>
            <w:r>
              <w:t>0.00</w:t>
            </w:r>
          </w:p>
        </w:tc>
        <w:tc>
          <w:tcPr>
            <w:tcW w:w="1705" w:type="dxa"/>
          </w:tcPr>
          <w:p w14:paraId="2DB502D8">
            <w:pPr>
              <w:jc w:val="right"/>
            </w:pPr>
            <w:r>
              <w:t>0.00</w:t>
            </w:r>
          </w:p>
        </w:tc>
      </w:tr>
    </w:tbl>
    <w:p w14:paraId="43C3B366">
      <w:pPr>
        <w:ind w:left="420" w:leftChars="200"/>
        <w:jc w:val="left"/>
        <w:rPr>
          <w:rFonts w:ascii="宋体" w:hAnsi="宋体"/>
          <w:sz w:val="24"/>
        </w:rPr>
      </w:pPr>
    </w:p>
    <w:p w14:paraId="20E984DC">
      <w:pPr>
        <w:ind w:left="420" w:leftChars="200"/>
        <w:jc w:val="left"/>
        <w:rPr>
          <w:rFonts w:asciiTheme="minorEastAsia" w:hAnsiTheme="minorEastAsia" w:eastAsiaTheme="minorEastAsia"/>
          <w:sz w:val="24"/>
        </w:rPr>
      </w:pPr>
    </w:p>
    <w:p w14:paraId="1BEFC9C3">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14:paraId="15356D8B">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14:paraId="3C8DF2D6">
      <w:pPr>
        <w:widowControl/>
        <w:jc w:val="left"/>
        <w:rPr>
          <w:rFonts w:ascii="宋体" w:hAnsi="宋体"/>
          <w:sz w:val="24"/>
        </w:rPr>
      </w:pPr>
    </w:p>
    <w:p w14:paraId="540C6E57">
      <w:pPr>
        <w:pStyle w:val="41"/>
        <w:spacing w:before="156" w:after="156"/>
        <w:rPr>
          <w:b w:val="0"/>
        </w:rPr>
      </w:pPr>
      <w:r>
        <w:rPr>
          <w:rFonts w:hint="eastAsia"/>
          <w:b w:val="0"/>
        </w:rPr>
        <w:t>报告期末占资产净值比例大小排序的前十项资产</w:t>
      </w:r>
      <w:r>
        <w:rPr>
          <w:b w:val="0"/>
        </w:rPr>
        <w:t>明细</w:t>
      </w:r>
    </w:p>
    <w:p w14:paraId="55C8D9EB">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61A71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66D224EA">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14:paraId="05D01220">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14:paraId="2ACA7A28">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14:paraId="5A413990">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14:paraId="482E4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78C1BFB9">
            <w:pPr>
              <w:jc w:val="center"/>
              <w:rPr>
                <w:szCs w:val="21"/>
              </w:rPr>
            </w:pPr>
            <w:r>
              <w:rPr>
                <w:szCs w:val="21"/>
              </w:rPr>
              <w:t>1</w:t>
            </w:r>
          </w:p>
        </w:tc>
        <w:tc>
          <w:tcPr>
            <w:tcW w:w="3159" w:type="dxa"/>
            <w:shd w:val="clear" w:color="auto" w:fill="auto"/>
            <w:vAlign w:val="center"/>
          </w:tcPr>
          <w:p w14:paraId="479B58E2">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14:paraId="5FEF2CA0">
            <w:pPr>
              <w:jc w:val="right"/>
            </w:pPr>
            <w:r>
              <w:t>107,000,214.00</w:t>
            </w:r>
          </w:p>
        </w:tc>
        <w:tc>
          <w:tcPr>
            <w:tcW w:w="2431" w:type="dxa"/>
            <w:shd w:val="clear" w:color="auto" w:fill="auto"/>
            <w:vAlign w:val="center"/>
          </w:tcPr>
          <w:p w14:paraId="0A1E62DE">
            <w:pPr>
              <w:jc w:val="right"/>
            </w:pPr>
            <w:bookmarkStart w:id="3" w:name="OLE_LINK5"/>
            <w:bookmarkEnd w:id="3"/>
            <w:bookmarkStart w:id="4" w:name="OLE_LINK6"/>
            <w:bookmarkEnd w:id="4"/>
            <w:r>
              <w:rPr>
                <w:rFonts w:hint="eastAsia"/>
              </w:rPr>
              <w:t>21.27</w:t>
            </w:r>
          </w:p>
        </w:tc>
      </w:tr>
      <w:tr w14:paraId="29DF2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021BF1E3">
            <w:pPr>
              <w:ind w:hanging="1"/>
              <w:jc w:val="center"/>
              <w:rPr>
                <w:szCs w:val="21"/>
              </w:rPr>
            </w:pPr>
            <w:r>
              <w:rPr>
                <w:b w:val="0"/>
                <w:i w:val="0"/>
                <w:strike w:val="0"/>
                <w:u w:val="none"/>
              </w:rPr>
              <w:t>2</w:t>
            </w:r>
          </w:p>
        </w:tc>
        <w:tc>
          <w:tcPr>
            <w:tcW w:w="3159" w:type="dxa"/>
            <w:shd w:val="clear" w:color="auto" w:fill="auto"/>
            <w:vAlign w:val="center"/>
          </w:tcPr>
          <w:p w14:paraId="01BC433C">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25泸发01</w:t>
            </w:r>
          </w:p>
        </w:tc>
        <w:tc>
          <w:tcPr>
            <w:tcW w:w="2693" w:type="dxa"/>
            <w:shd w:val="clear" w:color="auto" w:fill="auto"/>
            <w:vAlign w:val="center"/>
          </w:tcPr>
          <w:p w14:paraId="0727A6D2">
            <w:pPr>
              <w:ind w:hanging="1"/>
              <w:jc w:val="right"/>
            </w:pPr>
            <w:r>
              <w:rPr>
                <w:b w:val="0"/>
                <w:i w:val="0"/>
                <w:strike w:val="0"/>
                <w:u w:val="none"/>
              </w:rPr>
              <w:t>30,474,575.34</w:t>
            </w:r>
          </w:p>
        </w:tc>
        <w:tc>
          <w:tcPr>
            <w:tcW w:w="2431" w:type="dxa"/>
            <w:shd w:val="clear" w:color="auto" w:fill="auto"/>
            <w:vAlign w:val="center"/>
          </w:tcPr>
          <w:p w14:paraId="24FBDF6C">
            <w:pPr>
              <w:ind w:hanging="1"/>
              <w:jc w:val="right"/>
            </w:pPr>
            <w:r>
              <w:rPr>
                <w:rFonts w:hint="eastAsia"/>
                <w:b w:val="0"/>
                <w:i w:val="0"/>
                <w:strike w:val="0"/>
                <w:u w:val="none"/>
              </w:rPr>
              <w:t>6.06</w:t>
            </w:r>
          </w:p>
        </w:tc>
      </w:tr>
      <w:tr w14:paraId="02201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8FEB68F">
            <w:pPr>
              <w:ind w:hanging="1"/>
              <w:jc w:val="center"/>
              <w:rPr>
                <w:szCs w:val="21"/>
              </w:rPr>
            </w:pPr>
            <w:r>
              <w:rPr>
                <w:b w:val="0"/>
                <w:i w:val="0"/>
                <w:strike w:val="0"/>
                <w:u w:val="none"/>
              </w:rPr>
              <w:t>3</w:t>
            </w:r>
          </w:p>
        </w:tc>
        <w:tc>
          <w:tcPr>
            <w:tcW w:w="3159" w:type="dxa"/>
            <w:shd w:val="clear" w:color="auto" w:fill="auto"/>
            <w:vAlign w:val="center"/>
          </w:tcPr>
          <w:p w14:paraId="22BA8E98">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23鼎兴实业MTN003</w:t>
            </w:r>
          </w:p>
        </w:tc>
        <w:tc>
          <w:tcPr>
            <w:tcW w:w="2693" w:type="dxa"/>
            <w:shd w:val="clear" w:color="auto" w:fill="auto"/>
            <w:vAlign w:val="center"/>
          </w:tcPr>
          <w:p w14:paraId="4973FA1B">
            <w:pPr>
              <w:ind w:hanging="1"/>
              <w:jc w:val="right"/>
            </w:pPr>
            <w:r>
              <w:rPr>
                <w:b w:val="0"/>
                <w:i w:val="0"/>
                <w:strike w:val="0"/>
                <w:u w:val="none"/>
              </w:rPr>
              <w:t>20,749,835.62</w:t>
            </w:r>
          </w:p>
        </w:tc>
        <w:tc>
          <w:tcPr>
            <w:tcW w:w="2431" w:type="dxa"/>
            <w:shd w:val="clear" w:color="auto" w:fill="auto"/>
            <w:vAlign w:val="center"/>
          </w:tcPr>
          <w:p w14:paraId="7DF5FB54">
            <w:pPr>
              <w:ind w:hanging="1"/>
              <w:jc w:val="right"/>
            </w:pPr>
            <w:r>
              <w:rPr>
                <w:rFonts w:hint="eastAsia"/>
                <w:b w:val="0"/>
                <w:i w:val="0"/>
                <w:strike w:val="0"/>
                <w:u w:val="none"/>
              </w:rPr>
              <w:t>4.12</w:t>
            </w:r>
          </w:p>
        </w:tc>
      </w:tr>
      <w:tr w14:paraId="307C6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F34B41A">
            <w:pPr>
              <w:ind w:hanging="1"/>
              <w:jc w:val="center"/>
              <w:rPr>
                <w:szCs w:val="21"/>
              </w:rPr>
            </w:pPr>
            <w:r>
              <w:rPr>
                <w:b w:val="0"/>
                <w:i w:val="0"/>
                <w:strike w:val="0"/>
                <w:u w:val="none"/>
              </w:rPr>
              <w:t>4</w:t>
            </w:r>
          </w:p>
        </w:tc>
        <w:tc>
          <w:tcPr>
            <w:tcW w:w="3159" w:type="dxa"/>
            <w:shd w:val="clear" w:color="auto" w:fill="auto"/>
            <w:vAlign w:val="center"/>
          </w:tcPr>
          <w:p w14:paraId="736D0755">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25内桥01</w:t>
            </w:r>
          </w:p>
        </w:tc>
        <w:tc>
          <w:tcPr>
            <w:tcW w:w="2693" w:type="dxa"/>
            <w:shd w:val="clear" w:color="auto" w:fill="auto"/>
            <w:vAlign w:val="center"/>
          </w:tcPr>
          <w:p w14:paraId="7E54C88C">
            <w:pPr>
              <w:ind w:hanging="1"/>
              <w:jc w:val="right"/>
            </w:pPr>
            <w:r>
              <w:rPr>
                <w:b w:val="0"/>
                <w:i w:val="0"/>
                <w:strike w:val="0"/>
                <w:u w:val="none"/>
              </w:rPr>
              <w:t>20,660,969.86</w:t>
            </w:r>
          </w:p>
        </w:tc>
        <w:tc>
          <w:tcPr>
            <w:tcW w:w="2431" w:type="dxa"/>
            <w:shd w:val="clear" w:color="auto" w:fill="auto"/>
            <w:vAlign w:val="center"/>
          </w:tcPr>
          <w:p w14:paraId="3B6FCDD3">
            <w:pPr>
              <w:ind w:hanging="1"/>
              <w:jc w:val="right"/>
            </w:pPr>
            <w:r>
              <w:rPr>
                <w:rFonts w:hint="eastAsia"/>
                <w:b w:val="0"/>
                <w:i w:val="0"/>
                <w:strike w:val="0"/>
                <w:u w:val="none"/>
              </w:rPr>
              <w:t>4.11</w:t>
            </w:r>
          </w:p>
        </w:tc>
      </w:tr>
      <w:tr w14:paraId="23C28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B29C0CF">
            <w:pPr>
              <w:ind w:hanging="1"/>
              <w:jc w:val="center"/>
              <w:rPr>
                <w:szCs w:val="21"/>
              </w:rPr>
            </w:pPr>
            <w:r>
              <w:rPr>
                <w:b w:val="0"/>
                <w:i w:val="0"/>
                <w:strike w:val="0"/>
                <w:u w:val="none"/>
              </w:rPr>
              <w:t>5</w:t>
            </w:r>
          </w:p>
        </w:tc>
        <w:tc>
          <w:tcPr>
            <w:tcW w:w="3159" w:type="dxa"/>
            <w:shd w:val="clear" w:color="auto" w:fill="auto"/>
            <w:vAlign w:val="center"/>
          </w:tcPr>
          <w:p w14:paraId="11F4BEE6">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25古蔺03</w:t>
            </w:r>
          </w:p>
        </w:tc>
        <w:tc>
          <w:tcPr>
            <w:tcW w:w="2693" w:type="dxa"/>
            <w:shd w:val="clear" w:color="auto" w:fill="auto"/>
            <w:vAlign w:val="center"/>
          </w:tcPr>
          <w:p w14:paraId="3771ACF1">
            <w:pPr>
              <w:ind w:hanging="1"/>
              <w:jc w:val="right"/>
            </w:pPr>
            <w:r>
              <w:rPr>
                <w:b w:val="0"/>
                <w:i w:val="0"/>
                <w:strike w:val="0"/>
                <w:u w:val="none"/>
              </w:rPr>
              <w:t>20,622,547.95</w:t>
            </w:r>
          </w:p>
        </w:tc>
        <w:tc>
          <w:tcPr>
            <w:tcW w:w="2431" w:type="dxa"/>
            <w:shd w:val="clear" w:color="auto" w:fill="auto"/>
            <w:vAlign w:val="center"/>
          </w:tcPr>
          <w:p w14:paraId="04763898">
            <w:pPr>
              <w:ind w:hanging="1"/>
              <w:jc w:val="right"/>
            </w:pPr>
            <w:r>
              <w:rPr>
                <w:rFonts w:hint="eastAsia"/>
                <w:b w:val="0"/>
                <w:i w:val="0"/>
                <w:strike w:val="0"/>
                <w:u w:val="none"/>
              </w:rPr>
              <w:t>4.10</w:t>
            </w:r>
          </w:p>
        </w:tc>
      </w:tr>
      <w:tr w14:paraId="318C2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CD24FA2">
            <w:pPr>
              <w:ind w:hanging="1"/>
              <w:jc w:val="center"/>
              <w:rPr>
                <w:szCs w:val="21"/>
              </w:rPr>
            </w:pPr>
            <w:r>
              <w:rPr>
                <w:b w:val="0"/>
                <w:i w:val="0"/>
                <w:strike w:val="0"/>
                <w:u w:val="none"/>
              </w:rPr>
              <w:t>6</w:t>
            </w:r>
          </w:p>
        </w:tc>
        <w:tc>
          <w:tcPr>
            <w:tcW w:w="3159" w:type="dxa"/>
            <w:shd w:val="clear" w:color="auto" w:fill="auto"/>
            <w:vAlign w:val="center"/>
          </w:tcPr>
          <w:p w14:paraId="30888E84">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25达州02</w:t>
            </w:r>
          </w:p>
        </w:tc>
        <w:tc>
          <w:tcPr>
            <w:tcW w:w="2693" w:type="dxa"/>
            <w:shd w:val="clear" w:color="auto" w:fill="auto"/>
            <w:vAlign w:val="center"/>
          </w:tcPr>
          <w:p w14:paraId="11AC75EB">
            <w:pPr>
              <w:ind w:hanging="1"/>
              <w:jc w:val="right"/>
            </w:pPr>
            <w:r>
              <w:rPr>
                <w:b w:val="0"/>
                <w:i w:val="0"/>
                <w:strike w:val="0"/>
                <w:u w:val="none"/>
              </w:rPr>
              <w:t>20,582,060.27</w:t>
            </w:r>
          </w:p>
        </w:tc>
        <w:tc>
          <w:tcPr>
            <w:tcW w:w="2431" w:type="dxa"/>
            <w:shd w:val="clear" w:color="auto" w:fill="auto"/>
            <w:vAlign w:val="center"/>
          </w:tcPr>
          <w:p w14:paraId="16B9C76F">
            <w:pPr>
              <w:ind w:hanging="1"/>
              <w:jc w:val="right"/>
            </w:pPr>
            <w:r>
              <w:rPr>
                <w:rFonts w:hint="eastAsia"/>
                <w:b w:val="0"/>
                <w:i w:val="0"/>
                <w:strike w:val="0"/>
                <w:u w:val="none"/>
              </w:rPr>
              <w:t>4.09</w:t>
            </w:r>
          </w:p>
        </w:tc>
      </w:tr>
      <w:tr w14:paraId="5C940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4C172B6">
            <w:pPr>
              <w:ind w:hanging="1"/>
              <w:jc w:val="center"/>
              <w:rPr>
                <w:szCs w:val="21"/>
              </w:rPr>
            </w:pPr>
            <w:r>
              <w:rPr>
                <w:b w:val="0"/>
                <w:i w:val="0"/>
                <w:strike w:val="0"/>
                <w:u w:val="none"/>
              </w:rPr>
              <w:t>7</w:t>
            </w:r>
          </w:p>
        </w:tc>
        <w:tc>
          <w:tcPr>
            <w:tcW w:w="3159" w:type="dxa"/>
            <w:shd w:val="clear" w:color="auto" w:fill="auto"/>
            <w:vAlign w:val="center"/>
          </w:tcPr>
          <w:p w14:paraId="5A2DD25E">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21眉山发展PPN001</w:t>
            </w:r>
          </w:p>
        </w:tc>
        <w:tc>
          <w:tcPr>
            <w:tcW w:w="2693" w:type="dxa"/>
            <w:shd w:val="clear" w:color="auto" w:fill="auto"/>
            <w:vAlign w:val="center"/>
          </w:tcPr>
          <w:p w14:paraId="06D46821">
            <w:pPr>
              <w:ind w:hanging="1"/>
              <w:jc w:val="right"/>
            </w:pPr>
            <w:r>
              <w:rPr>
                <w:b w:val="0"/>
                <w:i w:val="0"/>
                <w:strike w:val="0"/>
                <w:u w:val="none"/>
              </w:rPr>
              <w:t>20,557,150.68</w:t>
            </w:r>
          </w:p>
        </w:tc>
        <w:tc>
          <w:tcPr>
            <w:tcW w:w="2431" w:type="dxa"/>
            <w:shd w:val="clear" w:color="auto" w:fill="auto"/>
            <w:vAlign w:val="center"/>
          </w:tcPr>
          <w:p w14:paraId="76404FFF">
            <w:pPr>
              <w:ind w:hanging="1"/>
              <w:jc w:val="right"/>
            </w:pPr>
            <w:r>
              <w:rPr>
                <w:rFonts w:hint="eastAsia"/>
                <w:b w:val="0"/>
                <w:i w:val="0"/>
                <w:strike w:val="0"/>
                <w:u w:val="none"/>
              </w:rPr>
              <w:t>4.09</w:t>
            </w:r>
          </w:p>
        </w:tc>
      </w:tr>
      <w:tr w14:paraId="57043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8699376">
            <w:pPr>
              <w:ind w:hanging="1"/>
              <w:jc w:val="center"/>
              <w:rPr>
                <w:szCs w:val="21"/>
              </w:rPr>
            </w:pPr>
            <w:r>
              <w:rPr>
                <w:b w:val="0"/>
                <w:i w:val="0"/>
                <w:strike w:val="0"/>
                <w:u w:val="none"/>
              </w:rPr>
              <w:t>8</w:t>
            </w:r>
          </w:p>
        </w:tc>
        <w:tc>
          <w:tcPr>
            <w:tcW w:w="3159" w:type="dxa"/>
            <w:shd w:val="clear" w:color="auto" w:fill="auto"/>
            <w:vAlign w:val="center"/>
          </w:tcPr>
          <w:p w14:paraId="60FD5036">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25天津农村商业银行CD080</w:t>
            </w:r>
          </w:p>
        </w:tc>
        <w:tc>
          <w:tcPr>
            <w:tcW w:w="2693" w:type="dxa"/>
            <w:shd w:val="clear" w:color="auto" w:fill="auto"/>
            <w:vAlign w:val="center"/>
          </w:tcPr>
          <w:p w14:paraId="73555C51">
            <w:pPr>
              <w:ind w:hanging="1"/>
              <w:jc w:val="right"/>
            </w:pPr>
            <w:r>
              <w:rPr>
                <w:b w:val="0"/>
                <w:i w:val="0"/>
                <w:strike w:val="0"/>
                <w:u w:val="none"/>
              </w:rPr>
              <w:t>19,945,698.96</w:t>
            </w:r>
          </w:p>
        </w:tc>
        <w:tc>
          <w:tcPr>
            <w:tcW w:w="2431" w:type="dxa"/>
            <w:shd w:val="clear" w:color="auto" w:fill="auto"/>
            <w:vAlign w:val="center"/>
          </w:tcPr>
          <w:p w14:paraId="6DE86755">
            <w:pPr>
              <w:ind w:hanging="1"/>
              <w:jc w:val="right"/>
            </w:pPr>
            <w:r>
              <w:rPr>
                <w:rFonts w:hint="eastAsia"/>
                <w:b w:val="0"/>
                <w:i w:val="0"/>
                <w:strike w:val="0"/>
                <w:u w:val="none"/>
              </w:rPr>
              <w:t>3.96</w:t>
            </w:r>
          </w:p>
        </w:tc>
      </w:tr>
      <w:tr w14:paraId="39EFB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E49C7AE">
            <w:pPr>
              <w:ind w:hanging="1"/>
              <w:jc w:val="center"/>
              <w:rPr>
                <w:szCs w:val="21"/>
              </w:rPr>
            </w:pPr>
            <w:r>
              <w:rPr>
                <w:b w:val="0"/>
                <w:i w:val="0"/>
                <w:strike w:val="0"/>
                <w:u w:val="none"/>
              </w:rPr>
              <w:t>9</w:t>
            </w:r>
          </w:p>
        </w:tc>
        <w:tc>
          <w:tcPr>
            <w:tcW w:w="3159" w:type="dxa"/>
            <w:shd w:val="clear" w:color="auto" w:fill="auto"/>
            <w:vAlign w:val="center"/>
          </w:tcPr>
          <w:p w14:paraId="6F509193">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26广东华兴银行CD264</w:t>
            </w:r>
          </w:p>
        </w:tc>
        <w:tc>
          <w:tcPr>
            <w:tcW w:w="2693" w:type="dxa"/>
            <w:shd w:val="clear" w:color="auto" w:fill="auto"/>
            <w:vAlign w:val="center"/>
          </w:tcPr>
          <w:p w14:paraId="62CBC566">
            <w:pPr>
              <w:ind w:hanging="1"/>
              <w:jc w:val="right"/>
            </w:pPr>
            <w:r>
              <w:rPr>
                <w:b w:val="0"/>
                <w:i w:val="0"/>
                <w:strike w:val="0"/>
                <w:u w:val="none"/>
              </w:rPr>
              <w:t>19,935,769.13</w:t>
            </w:r>
          </w:p>
        </w:tc>
        <w:tc>
          <w:tcPr>
            <w:tcW w:w="2431" w:type="dxa"/>
            <w:shd w:val="clear" w:color="auto" w:fill="auto"/>
            <w:vAlign w:val="center"/>
          </w:tcPr>
          <w:p w14:paraId="1F49D85B">
            <w:pPr>
              <w:ind w:hanging="1"/>
              <w:jc w:val="right"/>
            </w:pPr>
            <w:r>
              <w:rPr>
                <w:rFonts w:hint="eastAsia"/>
                <w:b w:val="0"/>
                <w:i w:val="0"/>
                <w:strike w:val="0"/>
                <w:u w:val="none"/>
              </w:rPr>
              <w:t>3.96</w:t>
            </w:r>
          </w:p>
        </w:tc>
      </w:tr>
      <w:tr w14:paraId="615A2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97C4CEF">
            <w:pPr>
              <w:ind w:hanging="1"/>
              <w:jc w:val="center"/>
              <w:rPr>
                <w:szCs w:val="21"/>
              </w:rPr>
            </w:pPr>
            <w:r>
              <w:rPr>
                <w:b w:val="0"/>
                <w:i w:val="0"/>
                <w:strike w:val="0"/>
                <w:u w:val="none"/>
              </w:rPr>
              <w:t>10</w:t>
            </w:r>
          </w:p>
        </w:tc>
        <w:tc>
          <w:tcPr>
            <w:tcW w:w="3159" w:type="dxa"/>
            <w:shd w:val="clear" w:color="auto" w:fill="auto"/>
            <w:vAlign w:val="center"/>
          </w:tcPr>
          <w:p w14:paraId="633B4819">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24阜阳债</w:t>
            </w:r>
          </w:p>
        </w:tc>
        <w:tc>
          <w:tcPr>
            <w:tcW w:w="2693" w:type="dxa"/>
            <w:shd w:val="clear" w:color="auto" w:fill="auto"/>
            <w:vAlign w:val="center"/>
          </w:tcPr>
          <w:p w14:paraId="5A8F1AF1">
            <w:pPr>
              <w:ind w:hanging="1"/>
              <w:jc w:val="right"/>
            </w:pPr>
            <w:r>
              <w:rPr>
                <w:b w:val="0"/>
                <w:i w:val="0"/>
                <w:strike w:val="0"/>
                <w:u w:val="none"/>
              </w:rPr>
              <w:t>15,858,000.00</w:t>
            </w:r>
          </w:p>
        </w:tc>
        <w:tc>
          <w:tcPr>
            <w:tcW w:w="2431" w:type="dxa"/>
            <w:shd w:val="clear" w:color="auto" w:fill="auto"/>
            <w:vAlign w:val="center"/>
          </w:tcPr>
          <w:p w14:paraId="25361780">
            <w:pPr>
              <w:ind w:hanging="1"/>
              <w:jc w:val="right"/>
            </w:pPr>
            <w:r>
              <w:rPr>
                <w:rFonts w:hint="eastAsia"/>
                <w:b w:val="0"/>
                <w:i w:val="0"/>
                <w:strike w:val="0"/>
                <w:u w:val="none"/>
              </w:rPr>
              <w:t>3.15</w:t>
            </w:r>
          </w:p>
        </w:tc>
      </w:tr>
    </w:tbl>
    <w:p w14:paraId="788D2FB5">
      <w:pPr>
        <w:rPr>
          <w:rFonts w:ascii="宋体" w:hAnsi="宋体"/>
          <w:sz w:val="24"/>
        </w:rPr>
      </w:pPr>
      <w:r>
        <w:rPr>
          <w:rFonts w:hint="eastAsia" w:ascii="宋体" w:hAnsi="宋体"/>
          <w:sz w:val="24"/>
        </w:rPr>
        <w:t xml:space="preserve"> </w:t>
      </w:r>
    </w:p>
    <w:p w14:paraId="3B98ADC1">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14:paraId="7B0EF372">
      <w:pPr>
        <w:pStyle w:val="40"/>
      </w:pPr>
      <w:r>
        <w:t>托管人报告</w:t>
      </w:r>
    </w:p>
    <w:p w14:paraId="44CEB4A0">
      <w:pPr>
        <w:spacing w:line="360" w:lineRule="auto"/>
        <w:ind w:right="-107" w:rightChars="-51"/>
        <w:jc w:val="left"/>
        <w:rPr>
          <w:rFonts w:hint="eastAsia" w:ascii="宋体" w:hAnsi="宋体"/>
          <w:szCs w:val="21"/>
        </w:rPr>
      </w:pPr>
      <w:r>
        <w:rPr>
          <w:rFonts w:hint="eastAsia" w:ascii="宋体" w:hAnsi="宋体"/>
          <w:szCs w:val="21"/>
        </w:rPr>
        <w:t>5.1、托管人履职情况</w:t>
      </w:r>
    </w:p>
    <w:p w14:paraId="2F7274E9">
      <w:pPr>
        <w:spacing w:line="360" w:lineRule="auto"/>
        <w:ind w:right="-107" w:rightChars="-51"/>
        <w:jc w:val="left"/>
        <w:rPr>
          <w:rFonts w:hint="eastAsia" w:ascii="宋体" w:hAnsi="宋体"/>
          <w:szCs w:val="21"/>
        </w:rPr>
      </w:pPr>
      <w:r>
        <w:rPr>
          <w:rFonts w:hint="eastAsia" w:ascii="宋体" w:hAnsi="宋体"/>
          <w:szCs w:val="21"/>
        </w:rPr>
        <w:t>（一）托管资产保管</w:t>
      </w:r>
    </w:p>
    <w:p w14:paraId="2B9A844A">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1A2F5238">
      <w:pPr>
        <w:spacing w:line="360" w:lineRule="auto"/>
        <w:ind w:right="-107" w:rightChars="-51"/>
        <w:jc w:val="left"/>
        <w:rPr>
          <w:rFonts w:hint="eastAsia" w:ascii="宋体" w:hAnsi="宋体"/>
          <w:szCs w:val="21"/>
        </w:rPr>
      </w:pPr>
      <w:r>
        <w:rPr>
          <w:rFonts w:hint="eastAsia" w:ascii="宋体" w:hAnsi="宋体"/>
          <w:szCs w:val="21"/>
        </w:rPr>
        <w:t>（二）会计核算和估值</w:t>
      </w:r>
    </w:p>
    <w:p w14:paraId="5761C019">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14:paraId="5340C319">
      <w:pPr>
        <w:spacing w:line="360" w:lineRule="auto"/>
        <w:ind w:right="-107" w:rightChars="-51"/>
        <w:jc w:val="left"/>
        <w:rPr>
          <w:rFonts w:hint="eastAsia" w:ascii="宋体" w:hAnsi="宋体"/>
          <w:szCs w:val="21"/>
        </w:rPr>
      </w:pPr>
      <w:r>
        <w:rPr>
          <w:rFonts w:hint="eastAsia" w:ascii="宋体" w:hAnsi="宋体"/>
          <w:szCs w:val="21"/>
        </w:rPr>
        <w:t>（三）定期核对有关数据</w:t>
      </w:r>
    </w:p>
    <w:p w14:paraId="5B175C16">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14:paraId="5970EF8C">
      <w:pPr>
        <w:spacing w:line="360" w:lineRule="auto"/>
        <w:ind w:right="-107" w:rightChars="-51"/>
        <w:jc w:val="left"/>
        <w:rPr>
          <w:rFonts w:hint="eastAsia" w:ascii="宋体" w:hAnsi="宋体"/>
          <w:szCs w:val="21"/>
        </w:rPr>
      </w:pPr>
      <w:r>
        <w:rPr>
          <w:rFonts w:hint="eastAsia" w:ascii="宋体" w:hAnsi="宋体"/>
          <w:szCs w:val="21"/>
        </w:rPr>
        <w:t>（四）投资监督</w:t>
      </w:r>
    </w:p>
    <w:p w14:paraId="04576592">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14:paraId="582A2DC9">
      <w:pPr>
        <w:spacing w:line="360" w:lineRule="auto"/>
        <w:ind w:right="-107" w:rightChars="-51"/>
        <w:jc w:val="left"/>
        <w:rPr>
          <w:rFonts w:hint="eastAsia" w:ascii="宋体" w:hAnsi="宋体"/>
          <w:szCs w:val="21"/>
        </w:rPr>
      </w:pPr>
      <w:r>
        <w:rPr>
          <w:rFonts w:hint="eastAsia" w:ascii="宋体" w:hAnsi="宋体"/>
          <w:szCs w:val="21"/>
        </w:rPr>
        <w:t>5.2、托管人声明</w:t>
      </w:r>
    </w:p>
    <w:p w14:paraId="3D59ACDC">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14:paraId="710F40F8">
      <w:pPr>
        <w:pStyle w:val="40"/>
      </w:pPr>
      <w:r>
        <w:rPr>
          <w:rFonts w:hint="eastAsia"/>
          <w:lang w:val="en-US"/>
        </w:rPr>
        <w:t>关联交易情况说明</w:t>
      </w:r>
    </w:p>
    <w:p w14:paraId="42BF2A02">
      <w:pPr>
        <w:ind w:firstLine="420" w:firstLineChars="200"/>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p>
    <w:p w14:paraId="7D99E132">
      <w:pPr>
        <w:ind w:firstLine="420" w:firstLineChars="200"/>
        <w:jc w:val="left"/>
        <w:rPr>
          <w:rFonts w:hint="eastAsia" w:asciiTheme="minorEastAsia" w:hAnsiTheme="minorEastAsia" w:eastAsiaTheme="minorEastAsia"/>
          <w:szCs w:val="21"/>
          <w:lang w:eastAsia="zh-CN"/>
        </w:rPr>
      </w:pPr>
    </w:p>
    <w:p w14:paraId="61DFAF08">
      <w:pPr>
        <w:spacing w:line="360" w:lineRule="auto"/>
        <w:ind w:right="-107" w:rightChars="-51" w:firstLine="420" w:firstLineChars="200"/>
        <w:jc w:val="left"/>
        <w:rPr>
          <w:rFonts w:hint="eastAsia" w:ascii="宋体" w:hAnsi="宋体"/>
          <w:szCs w:val="21"/>
        </w:rPr>
      </w:pPr>
    </w:p>
    <w:p w14:paraId="562EE419">
      <w:pPr>
        <w:jc w:val="left"/>
        <w:rPr>
          <w:rFonts w:asciiTheme="minorEastAsia" w:hAnsiTheme="minorEastAsia" w:eastAsiaTheme="minorEastAsia"/>
          <w:szCs w:val="21"/>
        </w:rPr>
      </w:pPr>
    </w:p>
    <w:p w14:paraId="5366D5E8">
      <w:pPr>
        <w:jc w:val="right"/>
        <w:rPr>
          <w:rFonts w:ascii="宋体" w:hAnsi="宋体"/>
          <w:sz w:val="24"/>
        </w:rPr>
      </w:pPr>
    </w:p>
    <w:p w14:paraId="2B78C4EB">
      <w:pPr>
        <w:jc w:val="right"/>
        <w:rPr>
          <w:rFonts w:ascii="宋体" w:hAnsi="宋体"/>
          <w:sz w:val="28"/>
          <w:szCs w:val="28"/>
        </w:rPr>
      </w:pPr>
      <w:r>
        <w:rPr>
          <w:rFonts w:ascii="宋体" w:hAnsi="宋体"/>
          <w:sz w:val="28"/>
          <w:szCs w:val="28"/>
        </w:rPr>
        <w:t>四川银行股份有限公司</w:t>
      </w:r>
    </w:p>
    <w:p w14:paraId="1C12F4FA">
      <w:pPr>
        <w:jc w:val="right"/>
        <w:rPr>
          <w:rFonts w:ascii="宋体" w:hAnsi="宋体"/>
          <w:sz w:val="28"/>
          <w:szCs w:val="28"/>
        </w:rPr>
      </w:pPr>
      <w:r>
        <w:rPr>
          <w:rFonts w:ascii="宋体" w:hAnsi="宋体"/>
          <w:sz w:val="28"/>
          <w:szCs w:val="28"/>
        </w:rPr>
        <w:t>2026-07-15</w:t>
      </w:r>
      <w:r>
        <w:rPr>
          <w:rFonts w:hint="eastAsia" w:ascii="宋体" w:hAnsi="宋体"/>
          <w:sz w:val="28"/>
          <w:szCs w:val="28"/>
        </w:rPr>
        <w:t xml:space="preserve">                   </w:t>
      </w:r>
      <w:bookmarkStart w:id="5" w:name="_GoBack"/>
      <w:bookmarkEnd w:id="5"/>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137E54">
    <w:pPr>
      <w:pStyle w:val="10"/>
      <w:framePr w:wrap="around" w:vAnchor="text" w:hAnchor="margin" w:xAlign="right" w:y="1"/>
      <w:rPr>
        <w:rStyle w:val="20"/>
      </w:rPr>
    </w:pPr>
    <w:r>
      <w:rPr>
        <w:rStyle w:val="20"/>
        <w:rFonts w:hint="eastAsia"/>
      </w:rPr>
      <w:t xml:space="preserve"> </w:t>
    </w:r>
  </w:p>
  <w:p w14:paraId="7E53F2E0">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9E197F">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6441D974">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30D863E3"/>
    <w:rsid w:val="35706056"/>
    <w:rsid w:val="35844C1F"/>
    <w:rsid w:val="378A66D0"/>
    <w:rsid w:val="46050EA9"/>
    <w:rsid w:val="49D862C5"/>
    <w:rsid w:val="4B474E5A"/>
    <w:rsid w:val="4DB000A9"/>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fz01099977</cp:lastModifiedBy>
  <cp:lastPrinted>2411-12-31T00:00:00Z</cp:lastPrinted>
  <dcterms:modified xsi:type="dcterms:W3CDTF">2026-07-07T06:42:08Z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