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174,426,000.00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5.61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3,617,664.52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6,207,564.44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175,467,381.24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151,199,402.23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151,199,402.23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11,005,036.28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15,319,655.75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381,402.08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177,905,496.34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12,604,520.55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11,005,036.28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10,359,561.64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23恒丰银行CD333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9,864,170.95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9,781,606.67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9,336,168.49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5.32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本报告期末，本产品投资的21天投</w:t>
      </w:r>
      <w:r>
        <w:rPr>
          <w:rFonts w:asciiTheme="minorEastAsia" w:hAnsiTheme="minorEastAsia" w:eastAsiaTheme="minorEastAsia"/>
          <w:szCs w:val="21"/>
        </w:rPr>
        <w:t>Y2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</w:t>
      </w:r>
      <w:r>
        <w:rPr>
          <w:rFonts w:hint="eastAsia" w:asciiTheme="minorEastAsia" w:hAnsiTheme="minorEastAsia" w:eastAsiaTheme="minorEastAsia"/>
          <w:szCs w:val="21"/>
        </w:rPr>
        <w:t>属于关联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03296f30-0da5-4fa2-9a2c-9a2d7e8ab7f5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F885B44"/>
    <w:rsid w:val="525C67C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1261</Words>
  <Characters>1857</Characters>
  <Lines>15</Lines>
  <Paragraphs>4</Paragraphs>
  <TotalTime>1</TotalTime>
  <ScaleCrop>false</ScaleCrop>
  <LinksUpToDate>false</LinksUpToDate>
  <CharactersWithSpaces>1912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2024-04-09T03:23:52Z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F109A8E1697B4DE382BC8C0F19C77978</vt:lpwstr>
  </property>
</Properties>
</file>