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A1B" w:rsidRDefault="00531A1B">
      <w:pPr>
        <w:jc w:val="center"/>
        <w:rPr>
          <w:rFonts w:ascii="仿宋" w:eastAsia="仿宋" w:hAnsi="仿宋" w:cs="Times New Roman"/>
          <w:b/>
          <w:color w:val="000000"/>
          <w:kern w:val="0"/>
          <w:sz w:val="36"/>
          <w:szCs w:val="20"/>
        </w:rPr>
      </w:pPr>
      <w:proofErr w:type="gramStart"/>
      <w:r w:rsidRPr="00531A1B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川银系列</w:t>
      </w:r>
      <w:proofErr w:type="gramEnd"/>
      <w:r w:rsidRPr="00531A1B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“美日利”人民币理财产品</w:t>
      </w:r>
    </w:p>
    <w:p w:rsidR="00531A1B" w:rsidRDefault="00531A1B">
      <w:pPr>
        <w:jc w:val="center"/>
        <w:rPr>
          <w:rFonts w:ascii="仿宋" w:eastAsia="仿宋" w:hAnsi="仿宋" w:cs="Times New Roman"/>
          <w:b/>
          <w:color w:val="000000"/>
          <w:kern w:val="0"/>
          <w:sz w:val="36"/>
          <w:szCs w:val="20"/>
        </w:rPr>
      </w:pPr>
      <w:r w:rsidRPr="00531A1B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2023</w:t>
      </w:r>
      <w:r w:rsidR="001A378F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年</w:t>
      </w:r>
      <w:r w:rsidR="00AB7346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第</w:t>
      </w:r>
      <w:r w:rsidRPr="00531A1B">
        <w:rPr>
          <w:rFonts w:ascii="仿宋" w:eastAsia="仿宋" w:hAnsi="仿宋" w:cs="Times New Roman" w:hint="eastAsia"/>
          <w:b/>
          <w:color w:val="000000"/>
          <w:kern w:val="0"/>
          <w:sz w:val="36"/>
          <w:szCs w:val="20"/>
        </w:rPr>
        <w:t>一季度报告</w:t>
      </w:r>
    </w:p>
    <w:p w:rsidR="00B542E5" w:rsidRDefault="00AB7346">
      <w:pPr>
        <w:jc w:val="center"/>
        <w:rPr>
          <w:rFonts w:ascii="仿宋" w:eastAsia="仿宋" w:hAnsi="仿宋" w:cs="Times New Roman"/>
          <w:color w:val="000000"/>
          <w:kern w:val="0"/>
          <w:sz w:val="20"/>
          <w:szCs w:val="20"/>
        </w:rPr>
      </w:pP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2023年1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月1日-</w:t>
      </w: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2023年3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月</w:t>
      </w: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31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日</w:t>
      </w:r>
    </w:p>
    <w:p w:rsidR="00B542E5" w:rsidRDefault="00B542E5">
      <w:pPr>
        <w:jc w:val="center"/>
        <w:rPr>
          <w:rFonts w:ascii="仿宋" w:eastAsia="仿宋" w:hAnsi="仿宋" w:cs="Times New Roman"/>
          <w:color w:val="000000"/>
          <w:kern w:val="0"/>
          <w:sz w:val="20"/>
          <w:szCs w:val="20"/>
        </w:rPr>
      </w:pPr>
    </w:p>
    <w:p w:rsidR="00B542E5" w:rsidRDefault="00AB7346">
      <w:pPr>
        <w:widowControl/>
        <w:jc w:val="center"/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§1  重要提示</w:t>
      </w: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br/>
        <w:t xml:space="preserve">   产品管理人保证本报告所载资料不存在虚假记载、误导性陈述或重大遗漏</w:t>
      </w:r>
      <w:r>
        <w:rPr>
          <w:rFonts w:ascii="仿宋" w:eastAsia="仿宋" w:hAnsi="仿宋" w:cs="Times New Roman" w:hint="eastAsia"/>
          <w:color w:val="000000"/>
          <w:kern w:val="0"/>
          <w:sz w:val="24"/>
          <w:szCs w:val="20"/>
        </w:rPr>
        <w:t>,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并对其内容的真实性、准确性和完整性承担个别及连带责任。</w:t>
      </w: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br/>
        <w:t xml:space="preserve">   产品托管人中国工商银行股份有限公司，已复核了本报告中的财务指标、净值表现和投资组合报告等内容，保证复核内容不存在虚假记载、误导性陈述或者重大遗漏。</w:t>
      </w: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br/>
        <w:t xml:space="preserve">   本报告中财务资料未经审计。</w:t>
      </w:r>
    </w:p>
    <w:p w:rsidR="00B542E5" w:rsidRDefault="00B542E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B542E5" w:rsidRDefault="00AB7346">
      <w:pPr>
        <w:widowControl/>
        <w:jc w:val="left"/>
        <w:rPr>
          <w:rFonts w:ascii="仿宋" w:eastAsia="仿宋" w:hAnsi="仿宋" w:cs="Times New Roman"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 xml:space="preserve">   本报告期自起</w:t>
      </w: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2023年1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月1日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至</w:t>
      </w: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2023年3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月3</w:t>
      </w:r>
      <w:r>
        <w:rPr>
          <w:rFonts w:ascii="仿宋" w:eastAsia="仿宋" w:hAnsi="仿宋" w:cs="Times New Roman" w:hint="eastAsia"/>
          <w:color w:val="000000"/>
          <w:kern w:val="0"/>
          <w:sz w:val="20"/>
          <w:szCs w:val="20"/>
        </w:rPr>
        <w:t>1</w:t>
      </w:r>
      <w:r>
        <w:rPr>
          <w:rFonts w:ascii="仿宋" w:eastAsia="仿宋" w:hAnsi="仿宋" w:cs="Times New Roman"/>
          <w:color w:val="000000"/>
          <w:kern w:val="0"/>
          <w:sz w:val="20"/>
          <w:szCs w:val="20"/>
        </w:rPr>
        <w:t>日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止。</w:t>
      </w:r>
    </w:p>
    <w:p w:rsidR="00B542E5" w:rsidRDefault="00B542E5">
      <w:pPr>
        <w:widowControl/>
        <w:jc w:val="left"/>
        <w:rPr>
          <w:rFonts w:ascii="仿宋" w:eastAsia="仿宋" w:hAnsi="仿宋" w:cs="Times New Roman"/>
          <w:color w:val="000000"/>
          <w:kern w:val="0"/>
          <w:sz w:val="24"/>
          <w:szCs w:val="20"/>
        </w:rPr>
      </w:pPr>
    </w:p>
    <w:p w:rsidR="00B542E5" w:rsidRDefault="00AB7346">
      <w:pPr>
        <w:widowControl/>
        <w:jc w:val="center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§2  产品概况</w:t>
      </w:r>
    </w:p>
    <w:p w:rsidR="00B542E5" w:rsidRDefault="00B542E5">
      <w:pPr>
        <w:widowControl/>
        <w:jc w:val="center"/>
        <w:rPr>
          <w:rFonts w:ascii="仿宋" w:eastAsia="仿宋" w:hAnsi="仿宋"/>
          <w:b/>
          <w:color w:val="000000"/>
          <w:sz w:val="24"/>
          <w:lang w:eastAsia="en-US"/>
        </w:rPr>
      </w:pPr>
    </w:p>
    <w:tbl>
      <w:tblPr>
        <w:tblW w:w="75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5677"/>
      </w:tblGrid>
      <w:tr w:rsidR="00B542E5">
        <w:trPr>
          <w:trHeight w:val="319"/>
          <w:jc w:val="center"/>
        </w:trPr>
        <w:tc>
          <w:tcPr>
            <w:tcW w:w="1867" w:type="dxa"/>
            <w:tcBorders>
              <w:top w:val="double" w:sz="2" w:space="0" w:color="000000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产品名称</w:t>
            </w:r>
          </w:p>
        </w:tc>
        <w:tc>
          <w:tcPr>
            <w:tcW w:w="5677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川银系列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“美日利”</w:t>
            </w:r>
            <w:r>
              <w:rPr>
                <w:rFonts w:ascii="仿宋" w:eastAsia="仿宋" w:hAnsi="仿宋"/>
                <w:color w:val="000000"/>
                <w:sz w:val="24"/>
              </w:rPr>
              <w:t>人民币理财产品</w:t>
            </w:r>
          </w:p>
        </w:tc>
      </w:tr>
      <w:tr w:rsidR="00B542E5">
        <w:trPr>
          <w:trHeight w:val="327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产品登记编码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  <w:rPr>
                <w:rFonts w:eastAsia="宋体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C1079020000071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产品类型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  <w:rPr>
                <w:rFonts w:eastAsia="仿宋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非保本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净值型理财产品</w:t>
            </w:r>
          </w:p>
        </w:tc>
      </w:tr>
      <w:tr w:rsidR="00B542E5">
        <w:trPr>
          <w:trHeight w:val="52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报告期末产品存续规模（份）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textAlignment w:val="top"/>
              <w:rPr>
                <w:rFonts w:eastAsia="宋体"/>
              </w:rPr>
            </w:pPr>
            <w:r>
              <w:rPr>
                <w:rFonts w:ascii="仿宋" w:eastAsia="仿宋" w:hAnsi="仿宋"/>
                <w:color w:val="000000"/>
                <w:sz w:val="24"/>
                <w:szCs w:val="22"/>
              </w:rPr>
              <w:t>1,980,025,778.79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收益类型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非保本浮动收益型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发行方式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公募</w:t>
            </w:r>
          </w:p>
        </w:tc>
      </w:tr>
      <w:tr w:rsidR="00B542E5">
        <w:trPr>
          <w:trHeight w:val="1407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投资范围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spacing w:before="199" w:after="199"/>
              <w:jc w:val="left"/>
              <w:rPr>
                <w:rFonts w:eastAsia="仿宋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100%投资于期限在1年以内（含1年）的银行活期存款及银行定期存款、债券回购、中央银行票据、同业存单，剩余期限在397天以内（含397天）的债券、在银行间市场和证券交易所市场发行的资产支持证券，以及银保监会、中国人民银行认可的其他具有良好流动性的货币市场工具。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产品成立日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2020年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/>
                <w:color w:val="000000"/>
                <w:sz w:val="24"/>
              </w:rPr>
              <w:t xml:space="preserve">月3日    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产品终止日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119</w:t>
            </w:r>
            <w:r>
              <w:rPr>
                <w:rFonts w:ascii="仿宋" w:eastAsia="仿宋" w:hAnsi="仿宋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/>
                <w:color w:val="000000"/>
                <w:sz w:val="24"/>
              </w:rPr>
              <w:t>日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杠杆水平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100.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03</w:t>
            </w:r>
            <w:r>
              <w:rPr>
                <w:rFonts w:ascii="仿宋" w:eastAsia="仿宋" w:hAnsi="仿宋"/>
                <w:color w:val="000000"/>
                <w:sz w:val="24"/>
              </w:rPr>
              <w:t>%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>风险等级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  <w:rPr>
                <w:rFonts w:eastAsia="宋体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1级：低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  <w:rPr>
                <w:rFonts w:ascii="仿宋" w:eastAsia="仿宋" w:hAnsi="仿宋"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/>
                <w:b/>
                <w:color w:val="000000"/>
                <w:sz w:val="24"/>
                <w:szCs w:val="22"/>
              </w:rPr>
              <w:t>产品管理人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  <w:rPr>
                <w:rFonts w:ascii="仿宋" w:eastAsia="仿宋" w:hAnsi="仿宋"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/>
                <w:color w:val="000000"/>
                <w:sz w:val="24"/>
                <w:szCs w:val="22"/>
              </w:rPr>
              <w:t>四川银行股份有限公司</w:t>
            </w:r>
          </w:p>
        </w:tc>
      </w:tr>
      <w:tr w:rsidR="00B542E5">
        <w:trPr>
          <w:trHeight w:val="282"/>
          <w:jc w:val="center"/>
        </w:trPr>
        <w:tc>
          <w:tcPr>
            <w:tcW w:w="1867" w:type="dxa"/>
            <w:tcBorders>
              <w:top w:val="single" w:sz="6" w:space="0" w:color="D3D3D3"/>
              <w:left w:val="double" w:sz="2" w:space="0" w:color="000000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lastRenderedPageBreak/>
              <w:t>产品托管人</w:t>
            </w:r>
          </w:p>
        </w:tc>
        <w:tc>
          <w:tcPr>
            <w:tcW w:w="5677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jc w:val="left"/>
            </w:pPr>
            <w:r>
              <w:rPr>
                <w:rFonts w:ascii="仿宋" w:eastAsia="仿宋" w:hAnsi="仿宋"/>
                <w:color w:val="000000"/>
                <w:sz w:val="24"/>
              </w:rPr>
              <w:t>中国工商银行股份有限公司</w:t>
            </w:r>
          </w:p>
        </w:tc>
      </w:tr>
    </w:tbl>
    <w:p w:rsidR="00B542E5" w:rsidRDefault="00B542E5">
      <w:pPr>
        <w:rPr>
          <w:rFonts w:ascii="仿宋" w:eastAsia="仿宋" w:hAnsi="仿宋" w:cs="Times New Roman"/>
          <w:color w:val="000000"/>
          <w:kern w:val="0"/>
          <w:sz w:val="20"/>
          <w:szCs w:val="20"/>
        </w:rPr>
      </w:pPr>
    </w:p>
    <w:p w:rsidR="00B542E5" w:rsidRDefault="00B542E5">
      <w:pPr>
        <w:rPr>
          <w:rFonts w:ascii="仿宋" w:eastAsia="仿宋" w:hAnsi="仿宋" w:cs="Times New Roman"/>
          <w:color w:val="000000"/>
          <w:kern w:val="0"/>
          <w:sz w:val="20"/>
          <w:szCs w:val="20"/>
        </w:rPr>
      </w:pPr>
    </w:p>
    <w:p w:rsidR="00B542E5" w:rsidRDefault="00AB7346">
      <w:pPr>
        <w:jc w:val="center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§3  产品业绩表现</w:t>
      </w:r>
    </w:p>
    <w:p w:rsidR="00B542E5" w:rsidRDefault="00AB7346">
      <w:pPr>
        <w:jc w:val="righ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单位：人民币元</w:t>
      </w:r>
    </w:p>
    <w:p w:rsidR="00B542E5" w:rsidRDefault="00B542E5">
      <w:pPr>
        <w:jc w:val="right"/>
        <w:rPr>
          <w:rFonts w:ascii="仿宋" w:eastAsia="仿宋" w:hAnsi="仿宋"/>
          <w:color w:val="000000"/>
          <w:sz w:val="24"/>
        </w:rPr>
      </w:pPr>
    </w:p>
    <w:tbl>
      <w:tblPr>
        <w:tblpPr w:leftFromText="180" w:rightFromText="180" w:vertAnchor="text" w:horzAnchor="page" w:tblpXSpec="center" w:tblpY="-17"/>
        <w:tblOverlap w:val="never"/>
        <w:tblW w:w="89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890"/>
      </w:tblGrid>
      <w:tr w:rsidR="00B542E5">
        <w:trPr>
          <w:trHeight w:val="282"/>
          <w:jc w:val="center"/>
        </w:trPr>
        <w:tc>
          <w:tcPr>
            <w:tcW w:w="3080" w:type="dxa"/>
            <w:tcBorders>
              <w:top w:val="double" w:sz="2" w:space="0" w:color="000000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0"/>
                <w:lang w:eastAsia="en-US"/>
              </w:rPr>
              <w:t>主要财务指标</w:t>
            </w:r>
            <w:proofErr w:type="spellEnd"/>
          </w:p>
        </w:tc>
        <w:tc>
          <w:tcPr>
            <w:tcW w:w="5890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>报告期（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2023年1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>月1日至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2023年3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>月3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1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>日）</w:t>
            </w:r>
          </w:p>
        </w:tc>
      </w:tr>
      <w:tr w:rsidR="00B542E5">
        <w:trPr>
          <w:trHeight w:val="282"/>
          <w:jc w:val="center"/>
        </w:trPr>
        <w:tc>
          <w:tcPr>
            <w:tcW w:w="3080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0"/>
                <w:lang w:eastAsia="en-US"/>
              </w:rPr>
              <w:t>1.期末产品资产净值</w:t>
            </w:r>
          </w:p>
        </w:tc>
        <w:tc>
          <w:tcPr>
            <w:tcW w:w="589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1,980,025,778.79</w:t>
            </w:r>
          </w:p>
        </w:tc>
      </w:tr>
      <w:tr w:rsidR="00B542E5">
        <w:trPr>
          <w:trHeight w:val="282"/>
          <w:jc w:val="center"/>
        </w:trPr>
        <w:tc>
          <w:tcPr>
            <w:tcW w:w="3080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0"/>
                <w:lang w:eastAsia="en-US"/>
              </w:rPr>
              <w:t>2.期末产品份额</w:t>
            </w:r>
          </w:p>
        </w:tc>
        <w:tc>
          <w:tcPr>
            <w:tcW w:w="589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1,980,025,778.79</w:t>
            </w:r>
          </w:p>
        </w:tc>
      </w:tr>
      <w:tr w:rsidR="00B542E5">
        <w:trPr>
          <w:trHeight w:val="305"/>
          <w:jc w:val="center"/>
        </w:trPr>
        <w:tc>
          <w:tcPr>
            <w:tcW w:w="3080" w:type="dxa"/>
            <w:tcBorders>
              <w:top w:val="single" w:sz="6" w:space="0" w:color="D3D3D3"/>
              <w:left w:val="double" w:sz="2" w:space="0" w:color="000000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2"/>
              </w:rPr>
              <w:t>3.期末产品份额净值</w:t>
            </w:r>
          </w:p>
        </w:tc>
        <w:tc>
          <w:tcPr>
            <w:tcW w:w="5890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1.0000</w:t>
            </w:r>
          </w:p>
        </w:tc>
      </w:tr>
    </w:tbl>
    <w:p w:rsidR="00B542E5" w:rsidRDefault="00B542E5">
      <w:pPr>
        <w:jc w:val="left"/>
        <w:rPr>
          <w:rFonts w:ascii="仿宋" w:eastAsia="仿宋" w:hAnsi="仿宋"/>
          <w:color w:val="000000"/>
          <w:sz w:val="24"/>
          <w:lang w:eastAsia="en-US"/>
        </w:rPr>
      </w:pPr>
    </w:p>
    <w:p w:rsidR="00B542E5" w:rsidRDefault="00AB7346">
      <w:pPr>
        <w:jc w:val="lef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报告期内保持对市场的密切关注，运用多种方式为客户创造收益，</w:t>
      </w:r>
      <w:r>
        <w:rPr>
          <w:rFonts w:ascii="仿宋" w:eastAsia="仿宋" w:hAnsi="仿宋" w:hint="eastAsia"/>
          <w:color w:val="000000"/>
          <w:sz w:val="24"/>
        </w:rPr>
        <w:t>季度末产品基金单位当日收益为0.6887，七日年化为2.3772</w:t>
      </w:r>
      <w:r>
        <w:rPr>
          <w:rFonts w:ascii="仿宋" w:eastAsia="仿宋" w:hAnsi="仿宋"/>
          <w:color w:val="000000"/>
          <w:sz w:val="24"/>
        </w:rPr>
        <w:t>。</w:t>
      </w:r>
    </w:p>
    <w:p w:rsidR="00B542E5" w:rsidRDefault="00B542E5">
      <w:pPr>
        <w:jc w:val="left"/>
        <w:rPr>
          <w:rFonts w:ascii="仿宋" w:eastAsia="仿宋" w:hAnsi="仿宋"/>
          <w:color w:val="000000"/>
          <w:sz w:val="24"/>
        </w:rPr>
      </w:pPr>
    </w:p>
    <w:p w:rsidR="00B542E5" w:rsidRDefault="00AB7346">
      <w:pPr>
        <w:jc w:val="center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§4  产品投资策略和运作分析</w:t>
      </w:r>
    </w:p>
    <w:p w:rsidR="00B542E5" w:rsidRDefault="00B542E5">
      <w:pPr>
        <w:jc w:val="center"/>
        <w:rPr>
          <w:rFonts w:ascii="仿宋" w:eastAsia="仿宋" w:hAnsi="仿宋"/>
          <w:b/>
          <w:color w:val="000000"/>
          <w:sz w:val="24"/>
        </w:rPr>
      </w:pP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4.1 报告期内产品投资策略和运作分析</w:t>
      </w:r>
    </w:p>
    <w:p w:rsidR="00B542E5" w:rsidRDefault="00B542E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 xml:space="preserve">     产品设立严格符合资管新规要求，投资策略为持有到期。产品自2020年</w:t>
      </w:r>
      <w:r>
        <w:rPr>
          <w:rFonts w:ascii="仿宋" w:eastAsia="仿宋" w:hAnsi="仿宋" w:cs="Times New Roman" w:hint="eastAsia"/>
          <w:color w:val="000000"/>
          <w:kern w:val="0"/>
          <w:sz w:val="24"/>
          <w:szCs w:val="20"/>
        </w:rPr>
        <w:t>9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月成立以来，累计管理规模</w:t>
      </w:r>
      <w:r>
        <w:rPr>
          <w:rFonts w:ascii="仿宋" w:eastAsia="仿宋" w:hAnsi="仿宋" w:cs="Times New Roman"/>
          <w:color w:val="000000"/>
          <w:kern w:val="0"/>
          <w:sz w:val="24"/>
          <w:szCs w:val="22"/>
        </w:rPr>
        <w:t>1,980,025,778.79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元，截止</w:t>
      </w:r>
      <w:r>
        <w:rPr>
          <w:rFonts w:ascii="仿宋" w:eastAsia="仿宋" w:hAnsi="仿宋" w:cs="Times New Roman" w:hint="eastAsia"/>
          <w:color w:val="000000"/>
          <w:kern w:val="0"/>
          <w:sz w:val="24"/>
          <w:szCs w:val="20"/>
        </w:rPr>
        <w:t>2023年3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月3</w:t>
      </w:r>
      <w:r>
        <w:rPr>
          <w:rFonts w:ascii="仿宋" w:eastAsia="仿宋" w:hAnsi="仿宋" w:cs="Times New Roman" w:hint="eastAsia"/>
          <w:color w:val="000000"/>
          <w:kern w:val="0"/>
          <w:sz w:val="24"/>
          <w:szCs w:val="20"/>
        </w:rPr>
        <w:t>1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日，净值</w:t>
      </w:r>
      <w:r>
        <w:rPr>
          <w:rFonts w:ascii="仿宋" w:eastAsia="仿宋" w:hAnsi="仿宋" w:cs="Times New Roman"/>
          <w:color w:val="000000"/>
          <w:kern w:val="0"/>
          <w:sz w:val="24"/>
          <w:szCs w:val="22"/>
        </w:rPr>
        <w:t>1,980,025,778.79</w:t>
      </w: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。</w:t>
      </w:r>
    </w:p>
    <w:p w:rsidR="00B542E5" w:rsidRDefault="00B542E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4.2报告期内产品主要投资风险</w:t>
      </w:r>
    </w:p>
    <w:p w:rsidR="00B542E5" w:rsidRDefault="00B542E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 xml:space="preserve">     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 w:rsidR="00B542E5" w:rsidRDefault="00B542E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4.3产品流动性风险分析</w:t>
      </w:r>
    </w:p>
    <w:p w:rsidR="00B542E5" w:rsidRDefault="00AB734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 xml:space="preserve">    </w:t>
      </w:r>
    </w:p>
    <w:p w:rsidR="00B542E5" w:rsidRDefault="00AB7346">
      <w:pPr>
        <w:ind w:firstLine="480"/>
        <w:jc w:val="left"/>
        <w:rPr>
          <w:rFonts w:ascii="仿宋" w:eastAsia="仿宋" w:hAnsi="仿宋" w:cs="Times New Roman"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本产品流动性风险整体可控，所配置的资产剩余期限</w:t>
      </w:r>
      <w:r w:rsidR="005B0DD4">
        <w:rPr>
          <w:rFonts w:ascii="仿宋" w:eastAsia="仿宋" w:hAnsi="仿宋" w:cs="Times New Roman" w:hint="eastAsia"/>
          <w:color w:val="000000"/>
          <w:kern w:val="0"/>
          <w:sz w:val="24"/>
          <w:szCs w:val="20"/>
        </w:rPr>
        <w:t>均</w:t>
      </w:r>
      <w:r w:rsidR="005B0DD4">
        <w:rPr>
          <w:rFonts w:ascii="仿宋" w:eastAsia="仿宋" w:hAnsi="仿宋" w:cs="Times New Roman"/>
          <w:color w:val="000000"/>
          <w:kern w:val="0"/>
          <w:sz w:val="24"/>
          <w:szCs w:val="20"/>
        </w:rPr>
        <w:t>在监管要求的范围内</w:t>
      </w:r>
      <w:bookmarkStart w:id="0" w:name="_GoBack"/>
      <w:bookmarkEnd w:id="0"/>
      <w:r>
        <w:rPr>
          <w:rFonts w:ascii="仿宋" w:eastAsia="仿宋" w:hAnsi="仿宋" w:cs="Times New Roman"/>
          <w:color w:val="000000"/>
          <w:kern w:val="0"/>
          <w:sz w:val="24"/>
          <w:szCs w:val="20"/>
        </w:rPr>
        <w:t>，截止报告日未采用杠杆融资策略。</w:t>
      </w:r>
    </w:p>
    <w:p w:rsidR="00B542E5" w:rsidRDefault="00B542E5">
      <w:pPr>
        <w:ind w:firstLine="480"/>
        <w:jc w:val="left"/>
        <w:rPr>
          <w:rFonts w:ascii="仿宋" w:eastAsia="仿宋" w:hAnsi="仿宋" w:cs="Times New Roman"/>
          <w:color w:val="000000"/>
          <w:kern w:val="0"/>
          <w:sz w:val="24"/>
          <w:szCs w:val="20"/>
        </w:rPr>
      </w:pPr>
    </w:p>
    <w:p w:rsidR="00B542E5" w:rsidRDefault="00AB7346">
      <w:pPr>
        <w:jc w:val="center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§5 投资组合报告</w:t>
      </w:r>
    </w:p>
    <w:p w:rsidR="00B542E5" w:rsidRDefault="00B542E5">
      <w:pPr>
        <w:jc w:val="center"/>
        <w:rPr>
          <w:rFonts w:ascii="仿宋" w:eastAsia="仿宋" w:hAnsi="仿宋"/>
          <w:b/>
          <w:color w:val="000000"/>
          <w:sz w:val="24"/>
        </w:rPr>
      </w:pPr>
    </w:p>
    <w:p w:rsidR="00B542E5" w:rsidRDefault="00AB7346">
      <w:pPr>
        <w:jc w:val="left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5.1 产品投资资产种类</w:t>
      </w:r>
    </w:p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320"/>
        <w:gridCol w:w="2919"/>
        <w:gridCol w:w="2385"/>
      </w:tblGrid>
      <w:tr w:rsidR="00B542E5">
        <w:trPr>
          <w:trHeight w:val="282"/>
        </w:trPr>
        <w:tc>
          <w:tcPr>
            <w:tcW w:w="689" w:type="dxa"/>
            <w:tcBorders>
              <w:top w:val="double" w:sz="2" w:space="0" w:color="000000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  <w:proofErr w:type="spellEnd"/>
          </w:p>
        </w:tc>
        <w:tc>
          <w:tcPr>
            <w:tcW w:w="3320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项目</w:t>
            </w:r>
            <w:proofErr w:type="spellEnd"/>
          </w:p>
        </w:tc>
        <w:tc>
          <w:tcPr>
            <w:tcW w:w="2919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面值</w:t>
            </w:r>
            <w:proofErr w:type="spellEnd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(元)</w:t>
            </w:r>
          </w:p>
        </w:tc>
        <w:tc>
          <w:tcPr>
            <w:tcW w:w="2385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产品总</w:t>
            </w: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资产比例</w:t>
            </w:r>
            <w:proofErr w:type="spellEnd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(%)</w:t>
            </w: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1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固定收益投资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1,737,333,032.49</w:t>
            </w: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87.72</w:t>
            </w: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2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其中：债券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1,737,333,032.49</w:t>
            </w: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87.72</w:t>
            </w: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3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资产支持证券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4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权益投资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5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其中：股票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6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基金投资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7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信托投资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8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金融衍生品投资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9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买入返售金融资产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129,962,145.67</w:t>
            </w: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6.56</w:t>
            </w: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10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 xml:space="preserve">  其中：买断式回购的买入返售金融资产</w:t>
            </w:r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11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113,269,741.60</w:t>
            </w: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5.72</w:t>
            </w: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12</w:t>
            </w: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numPr>
                <w:ilvl w:val="0"/>
                <w:numId w:val="12"/>
              </w:numPr>
              <w:ind w:left="720" w:hanging="3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其他资产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</w:p>
        </w:tc>
      </w:tr>
      <w:tr w:rsidR="00B542E5">
        <w:trPr>
          <w:trHeight w:val="282"/>
        </w:trPr>
        <w:tc>
          <w:tcPr>
            <w:tcW w:w="689" w:type="dxa"/>
            <w:tcBorders>
              <w:top w:val="single" w:sz="6" w:space="0" w:color="D3D3D3"/>
              <w:left w:val="double" w:sz="2" w:space="0" w:color="000000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B542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320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总计</w:t>
            </w:r>
            <w:proofErr w:type="spellEnd"/>
          </w:p>
        </w:tc>
        <w:tc>
          <w:tcPr>
            <w:tcW w:w="2919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1,980,564,919.76</w:t>
            </w:r>
          </w:p>
        </w:tc>
        <w:tc>
          <w:tcPr>
            <w:tcW w:w="2385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100.00</w:t>
            </w:r>
          </w:p>
        </w:tc>
      </w:tr>
    </w:tbl>
    <w:p w:rsidR="00B542E5" w:rsidRDefault="00B542E5">
      <w:pPr>
        <w:jc w:val="left"/>
        <w:rPr>
          <w:rFonts w:ascii="仿宋" w:eastAsia="仿宋" w:hAnsi="仿宋"/>
          <w:b/>
          <w:color w:val="000000"/>
          <w:sz w:val="24"/>
        </w:rPr>
      </w:pPr>
    </w:p>
    <w:p w:rsidR="00B542E5" w:rsidRDefault="00B542E5">
      <w:pPr>
        <w:jc w:val="left"/>
        <w:rPr>
          <w:rFonts w:ascii="仿宋" w:eastAsia="仿宋" w:hAnsi="仿宋"/>
          <w:b/>
          <w:color w:val="000000"/>
          <w:sz w:val="24"/>
        </w:rPr>
      </w:pPr>
    </w:p>
    <w:p w:rsidR="00B542E5" w:rsidRDefault="00AB7346">
      <w:pPr>
        <w:jc w:val="left"/>
        <w:rPr>
          <w:rFonts w:ascii="仿宋" w:eastAsia="仿宋" w:hAnsi="仿宋"/>
          <w:b/>
          <w:color w:val="000000"/>
          <w:sz w:val="24"/>
        </w:rPr>
      </w:pPr>
      <w:r>
        <w:rPr>
          <w:rFonts w:ascii="仿宋" w:eastAsia="仿宋" w:hAnsi="仿宋"/>
          <w:b/>
          <w:color w:val="000000"/>
          <w:sz w:val="24"/>
        </w:rPr>
        <w:t>5.2 前十大资产持仓情况</w:t>
      </w:r>
    </w:p>
    <w:tbl>
      <w:tblPr>
        <w:tblW w:w="93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2054"/>
        <w:gridCol w:w="2066"/>
        <w:gridCol w:w="2203"/>
        <w:gridCol w:w="2366"/>
      </w:tblGrid>
      <w:tr w:rsidR="00B542E5">
        <w:trPr>
          <w:trHeight w:val="282"/>
        </w:trPr>
        <w:tc>
          <w:tcPr>
            <w:tcW w:w="638" w:type="dxa"/>
            <w:tcBorders>
              <w:top w:val="double" w:sz="2" w:space="0" w:color="000000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  <w:proofErr w:type="spellEnd"/>
          </w:p>
        </w:tc>
        <w:tc>
          <w:tcPr>
            <w:tcW w:w="2054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资产名称</w:t>
            </w:r>
            <w:proofErr w:type="spellEnd"/>
          </w:p>
        </w:tc>
        <w:tc>
          <w:tcPr>
            <w:tcW w:w="2066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资产面值</w:t>
            </w:r>
            <w:proofErr w:type="spellEnd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(元)</w:t>
            </w:r>
          </w:p>
        </w:tc>
        <w:tc>
          <w:tcPr>
            <w:tcW w:w="2203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资产公允价值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（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元</w:t>
            </w: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）</w:t>
            </w:r>
          </w:p>
        </w:tc>
        <w:tc>
          <w:tcPr>
            <w:tcW w:w="2366" w:type="dxa"/>
            <w:tcBorders>
              <w:top w:val="double" w:sz="2" w:space="0" w:color="000000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产品净</w:t>
            </w:r>
            <w:proofErr w:type="spellStart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资产比例</w:t>
            </w:r>
            <w:proofErr w:type="spellEnd"/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(%)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22平安银行CD079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100,000,000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99,342,800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5.05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22广州银行CD045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100,000,000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99,309,600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5.05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22成都农商银行CD126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90,000,000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89,353,800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4.55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4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22成都农商银行CD102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80,000,000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79,660,160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4.04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5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22宁波银行CD143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70,000,000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69,701,660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3.54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6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22大连银行CD265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60,000,000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59,557,920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3.03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7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22渤海银行CD376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49,927,100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2.53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8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22北京银行CD118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49,826,800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2.53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9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22兴业银行CD184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49,809,100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2.53</w:t>
            </w:r>
          </w:p>
        </w:tc>
      </w:tr>
      <w:tr w:rsidR="00B542E5">
        <w:trPr>
          <w:trHeight w:val="282"/>
        </w:trPr>
        <w:tc>
          <w:tcPr>
            <w:tcW w:w="638" w:type="dxa"/>
            <w:tcBorders>
              <w:top w:val="single" w:sz="6" w:space="0" w:color="D3D3D3"/>
              <w:left w:val="double" w:sz="2" w:space="0" w:color="000000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0"/>
              </w:rPr>
              <w:t>10</w:t>
            </w:r>
          </w:p>
        </w:tc>
        <w:tc>
          <w:tcPr>
            <w:tcW w:w="2054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22兴业银行CD187</w:t>
            </w:r>
          </w:p>
        </w:tc>
        <w:tc>
          <w:tcPr>
            <w:tcW w:w="2066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single" w:sz="6" w:space="0" w:color="D3D3D3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50,000,000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203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49,791,450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2"/>
              </w:rPr>
              <w:t>.00</w:t>
            </w:r>
          </w:p>
        </w:tc>
        <w:tc>
          <w:tcPr>
            <w:tcW w:w="2366" w:type="dxa"/>
            <w:tcBorders>
              <w:top w:val="single" w:sz="6" w:space="0" w:color="D3D3D3"/>
              <w:left w:val="single" w:sz="6" w:space="0" w:color="D3D3D3"/>
              <w:bottom w:val="double" w:sz="2" w:space="0" w:color="000000"/>
              <w:right w:val="double" w:sz="2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B542E5" w:rsidRDefault="00AB7346">
            <w:pPr>
              <w:widowControl/>
              <w:jc w:val="center"/>
              <w:textAlignment w:val="top"/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2"/>
              </w:rPr>
              <w:t>2.53</w:t>
            </w:r>
          </w:p>
        </w:tc>
      </w:tr>
    </w:tbl>
    <w:p w:rsidR="00B542E5" w:rsidRDefault="00B542E5">
      <w:pPr>
        <w:jc w:val="center"/>
        <w:rPr>
          <w:rFonts w:ascii="仿宋" w:eastAsia="仿宋" w:hAnsi="仿宋"/>
          <w:b/>
          <w:color w:val="000000"/>
          <w:sz w:val="24"/>
        </w:rPr>
      </w:pPr>
    </w:p>
    <w:p w:rsidR="00B542E5" w:rsidRDefault="00B542E5">
      <w:pPr>
        <w:jc w:val="left"/>
        <w:rPr>
          <w:rFonts w:ascii="仿宋" w:eastAsia="仿宋" w:hAnsi="仿宋"/>
          <w:b/>
          <w:color w:val="000000"/>
          <w:sz w:val="24"/>
        </w:rPr>
      </w:pPr>
    </w:p>
    <w:p w:rsidR="00B542E5" w:rsidRDefault="00B542E5">
      <w:pPr>
        <w:jc w:val="left"/>
        <w:rPr>
          <w:rFonts w:ascii="仿宋" w:eastAsia="仿宋" w:hAnsi="仿宋"/>
          <w:b/>
          <w:color w:val="000000"/>
          <w:sz w:val="24"/>
        </w:rPr>
      </w:pPr>
    </w:p>
    <w:p w:rsidR="00B542E5" w:rsidRDefault="00AB7346">
      <w:pPr>
        <w:widowControl/>
        <w:jc w:val="center"/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§</w:t>
      </w:r>
      <w:r>
        <w:rPr>
          <w:rFonts w:ascii="仿宋" w:eastAsia="仿宋" w:hAnsi="仿宋" w:cs="Times New Roman" w:hint="eastAsia"/>
          <w:b/>
          <w:color w:val="000000"/>
          <w:kern w:val="0"/>
          <w:sz w:val="24"/>
          <w:szCs w:val="20"/>
        </w:rPr>
        <w:t>6</w:t>
      </w: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color w:val="000000"/>
          <w:kern w:val="0"/>
          <w:sz w:val="24"/>
          <w:szCs w:val="20"/>
        </w:rPr>
        <w:t>托管人</w:t>
      </w: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>报告</w:t>
      </w:r>
    </w:p>
    <w:p w:rsidR="00B542E5" w:rsidRDefault="00B542E5">
      <w:pPr>
        <w:jc w:val="left"/>
        <w:rPr>
          <w:rFonts w:ascii="仿宋" w:eastAsia="仿宋" w:hAnsi="仿宋"/>
          <w:b/>
          <w:color w:val="000000"/>
          <w:sz w:val="24"/>
        </w:rPr>
      </w:pPr>
    </w:p>
    <w:p w:rsidR="00B542E5" w:rsidRDefault="00AB7346">
      <w:pPr>
        <w:widowControl/>
        <w:spacing w:line="360" w:lineRule="auto"/>
        <w:ind w:firstLineChars="100" w:firstLine="240"/>
        <w:jc w:val="left"/>
        <w:rPr>
          <w:rFonts w:ascii="仿宋" w:eastAsia="仿宋" w:hAnsi="仿宋"/>
          <w:color w:val="000000"/>
          <w:sz w:val="24"/>
          <w:szCs w:val="22"/>
        </w:rPr>
      </w:pPr>
      <w:r>
        <w:rPr>
          <w:rFonts w:ascii="仿宋" w:eastAsia="仿宋" w:hAnsi="仿宋" w:hint="eastAsia"/>
          <w:color w:val="000000"/>
          <w:sz w:val="24"/>
          <w:szCs w:val="22"/>
        </w:rPr>
        <w:t>工商银行具备完善的公司治理结构、内部稽核监控制度和风险控制制度，我行在履行托管职责中，严格遵守有关法律法规、托管协议的规定，尽职尽责地履行托管义务并安全保管托管资产。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AC21F2" w:rsidRDefault="008B2450" w:rsidP="008B2450">
      <w:pPr>
        <w:widowControl/>
        <w:jc w:val="center"/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lastRenderedPageBreak/>
        <w:t>§</w:t>
      </w:r>
      <w:r>
        <w:rPr>
          <w:rFonts w:ascii="仿宋" w:eastAsia="仿宋" w:hAnsi="仿宋" w:cs="Times New Roman" w:hint="eastAsia"/>
          <w:b/>
          <w:color w:val="000000"/>
          <w:kern w:val="0"/>
          <w:sz w:val="24"/>
          <w:szCs w:val="20"/>
        </w:rPr>
        <w:t>7</w:t>
      </w: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 xml:space="preserve"> </w:t>
      </w:r>
      <w:r>
        <w:rPr>
          <w:rFonts w:ascii="仿宋" w:eastAsia="仿宋" w:hAnsi="仿宋" w:cs="Times New Roman" w:hint="eastAsia"/>
          <w:b/>
          <w:color w:val="000000"/>
          <w:kern w:val="0"/>
          <w:sz w:val="24"/>
          <w:szCs w:val="20"/>
        </w:rPr>
        <w:t>关联交易情况说明</w:t>
      </w:r>
    </w:p>
    <w:p w:rsidR="00AC21F2" w:rsidRDefault="00AC21F2" w:rsidP="00AC21F2">
      <w:pPr>
        <w:widowControl/>
        <w:spacing w:line="360" w:lineRule="auto"/>
        <w:ind w:firstLineChars="100" w:firstLine="240"/>
        <w:jc w:val="left"/>
        <w:rPr>
          <w:rFonts w:ascii="仿宋" w:eastAsia="仿宋" w:hAnsi="仿宋"/>
          <w:color w:val="000000"/>
          <w:sz w:val="24"/>
          <w:szCs w:val="22"/>
        </w:rPr>
      </w:pPr>
      <w:r>
        <w:rPr>
          <w:rFonts w:ascii="仿宋" w:eastAsia="仿宋" w:hAnsi="仿宋" w:hint="eastAsia"/>
          <w:color w:val="000000"/>
          <w:sz w:val="24"/>
          <w:szCs w:val="22"/>
        </w:rPr>
        <w:t>截至本报告期</w:t>
      </w:r>
      <w:r>
        <w:rPr>
          <w:rFonts w:ascii="仿宋" w:eastAsia="仿宋" w:hAnsi="仿宋"/>
          <w:color w:val="000000"/>
          <w:sz w:val="24"/>
          <w:szCs w:val="22"/>
        </w:rPr>
        <w:t>末，本产品</w:t>
      </w:r>
      <w:r w:rsidR="00834A13">
        <w:rPr>
          <w:rFonts w:ascii="仿宋" w:eastAsia="仿宋" w:hAnsi="仿宋" w:hint="eastAsia"/>
          <w:color w:val="000000"/>
          <w:sz w:val="24"/>
          <w:szCs w:val="22"/>
        </w:rPr>
        <w:t>投资</w:t>
      </w:r>
      <w:r w:rsidR="00834A13">
        <w:rPr>
          <w:rFonts w:ascii="仿宋" w:eastAsia="仿宋" w:hAnsi="仿宋"/>
          <w:color w:val="000000"/>
          <w:sz w:val="24"/>
          <w:szCs w:val="22"/>
        </w:rPr>
        <w:t>资产不存在关联交易</w:t>
      </w:r>
      <w:r>
        <w:rPr>
          <w:rFonts w:ascii="仿宋" w:eastAsia="仿宋" w:hAnsi="仿宋" w:hint="eastAsia"/>
          <w:color w:val="000000"/>
          <w:sz w:val="24"/>
          <w:szCs w:val="22"/>
        </w:rPr>
        <w:t>。</w:t>
      </w:r>
    </w:p>
    <w:p w:rsidR="00C43AC7" w:rsidRDefault="00C43AC7" w:rsidP="00C43AC7">
      <w:pPr>
        <w:widowControl/>
        <w:jc w:val="center"/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</w:pPr>
    </w:p>
    <w:p w:rsidR="00C43AC7" w:rsidRDefault="00C43AC7" w:rsidP="00C43AC7">
      <w:pPr>
        <w:widowControl/>
        <w:jc w:val="center"/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</w:pPr>
      <w:r>
        <w:rPr>
          <w:rFonts w:ascii="仿宋" w:eastAsia="仿宋" w:hAnsi="仿宋" w:cs="Times New Roman"/>
          <w:b/>
          <w:color w:val="000000"/>
          <w:kern w:val="0"/>
          <w:sz w:val="24"/>
          <w:szCs w:val="20"/>
        </w:rPr>
        <w:t xml:space="preserve">§8 </w:t>
      </w:r>
      <w:r>
        <w:rPr>
          <w:rFonts w:ascii="仿宋" w:eastAsia="仿宋" w:hAnsi="仿宋" w:cs="Times New Roman" w:hint="eastAsia"/>
          <w:b/>
          <w:color w:val="000000"/>
          <w:kern w:val="0"/>
          <w:sz w:val="24"/>
          <w:szCs w:val="20"/>
        </w:rPr>
        <w:t>关联交易情况说明</w:t>
      </w:r>
    </w:p>
    <w:p w:rsidR="00C43AC7" w:rsidRDefault="00C43AC7" w:rsidP="00C43AC7">
      <w:pPr>
        <w:widowControl/>
        <w:spacing w:line="360" w:lineRule="auto"/>
        <w:ind w:firstLineChars="100" w:firstLine="240"/>
        <w:jc w:val="left"/>
        <w:rPr>
          <w:rFonts w:ascii="仿宋" w:eastAsia="仿宋" w:hAnsi="仿宋"/>
          <w:color w:val="000000"/>
          <w:sz w:val="24"/>
          <w:szCs w:val="22"/>
        </w:rPr>
      </w:pPr>
      <w:r>
        <w:rPr>
          <w:rFonts w:ascii="仿宋" w:eastAsia="仿宋" w:hAnsi="仿宋" w:hint="eastAsia"/>
          <w:color w:val="000000"/>
          <w:sz w:val="24"/>
          <w:szCs w:val="22"/>
        </w:rPr>
        <w:t>无。</w:t>
      </w:r>
    </w:p>
    <w:p w:rsidR="00B542E5" w:rsidRDefault="00B542E5">
      <w:pPr>
        <w:jc w:val="left"/>
        <w:rPr>
          <w:rFonts w:ascii="仿宋" w:eastAsia="仿宋" w:hAnsi="仿宋"/>
          <w:color w:val="000000"/>
          <w:sz w:val="24"/>
        </w:rPr>
      </w:pPr>
    </w:p>
    <w:sectPr w:rsidR="00B54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11FE1"/>
    <w:rsid w:val="00132B62"/>
    <w:rsid w:val="001A378F"/>
    <w:rsid w:val="003204A4"/>
    <w:rsid w:val="00531A1B"/>
    <w:rsid w:val="00566464"/>
    <w:rsid w:val="005B0DD4"/>
    <w:rsid w:val="006F2F8E"/>
    <w:rsid w:val="00834A13"/>
    <w:rsid w:val="008B2450"/>
    <w:rsid w:val="009526F7"/>
    <w:rsid w:val="00A15F4D"/>
    <w:rsid w:val="00AB7346"/>
    <w:rsid w:val="00AC21F2"/>
    <w:rsid w:val="00B542E5"/>
    <w:rsid w:val="00C43AC7"/>
    <w:rsid w:val="00E01369"/>
    <w:rsid w:val="023D3E26"/>
    <w:rsid w:val="04836438"/>
    <w:rsid w:val="07F36610"/>
    <w:rsid w:val="0D2D75E8"/>
    <w:rsid w:val="12767544"/>
    <w:rsid w:val="20B912D1"/>
    <w:rsid w:val="239E502E"/>
    <w:rsid w:val="24E8576B"/>
    <w:rsid w:val="294A584A"/>
    <w:rsid w:val="39AA15AF"/>
    <w:rsid w:val="3C1C2FB8"/>
    <w:rsid w:val="46E3326F"/>
    <w:rsid w:val="4BEE4F7F"/>
    <w:rsid w:val="6D0C3B99"/>
    <w:rsid w:val="6E21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A7CF1BE-D9B9-47CB-8C97-C6C4DB5C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F2F8E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4">
    <w:name w:val="Balloon Text"/>
    <w:basedOn w:val="a"/>
    <w:link w:val="Char"/>
    <w:rsid w:val="003204A4"/>
    <w:rPr>
      <w:sz w:val="18"/>
      <w:szCs w:val="18"/>
    </w:rPr>
  </w:style>
  <w:style w:type="character" w:customStyle="1" w:styleId="Char">
    <w:name w:val="批注框文本 Char"/>
    <w:basedOn w:val="a0"/>
    <w:link w:val="a4"/>
    <w:rsid w:val="003204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季度报告</dc:title>
  <dc:creator>gdgz-wenjx</dc:creator>
  <cp:lastModifiedBy>苏晓雅</cp:lastModifiedBy>
  <cp:revision>23</cp:revision>
  <dcterms:created xsi:type="dcterms:W3CDTF">2022-10-20T07:48:00Z</dcterms:created>
  <dcterms:modified xsi:type="dcterms:W3CDTF">2023-04-18T07:38:00Z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