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四川银行定开系列3个月7号净值型理财产品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自2022-05-19起至2022-12-31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四川银行定开系列3个月7号净值型理财产品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2022-05-19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161,549,875.00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2022-05-19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1.46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2022-05-19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3,636,121.56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1,295,281.56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160,705,743.40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.0146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143,794,729.69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89.42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143,794,729.69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89.42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15,995,230.48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9.95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436,339.14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0.27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573,698.04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0.36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160,799,997.35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15,995,230.48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21攀枝城投MTN001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14,986,376.71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21绵投02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14,415,128.77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12,906,560.27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10,166,624.66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10,003,246.58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PR金投01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9,829,965.75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9,718,191.78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9,090,258.90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19楚晟控股债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8,468,273.97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5.27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本报告期末，本产品投资的21眉府01、21攀枝城投MTN001、22凉山发展MTN001属于关联交易。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2EF5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587F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2DC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47F375CC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247C0-B924-41C5-9BD7-7E37254B54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333</Words>
  <Characters>1899</Characters>
  <Lines>15</Lines>
  <Paragraphs>4</Paragraphs>
  <TotalTime>0</TotalTime>
  <ScaleCrop>false</ScaleCrop>
  <LinksUpToDate>false</LinksUpToDate>
  <CharactersWithSpaces>2228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2023-02-16T04:14:24Z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BD7EAE43380E4B80965AA0D5FA42E097</vt:lpwstr>
  </property>
</Properties>
</file>