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四川银行定开系列6个月6号净值型理财产品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2022年半年度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自2022-01-01起2022-06-30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  <w:lang w:eastAsia="zh-CN"/>
        </w:rPr>
        <w:t>产品</w:t>
      </w:r>
      <w:r>
        <w:rPr>
          <w:rFonts w:hint="eastAsia"/>
        </w:rPr>
        <w:t>基本情况</w:t>
      </w:r>
      <w:r>
        <w:rPr>
          <w:rFonts w:hint="eastAsia"/>
          <w:lang w:eastAsia="zh-CN"/>
        </w:rPr>
        <w:t xml:space="preserve">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四川银行定开系列6个月6号净值型理财产品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2021-11-05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57,346,000.00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</w:t>
            </w:r>
            <w:r>
              <w:rPr>
                <w:rFonts w:hint="eastAsia" w:ascii="宋体" w:hAnsi="宋体"/>
                <w:lang w:val="en-US" w:eastAsia="zh-CN"/>
              </w:rPr>
              <w:t>9</w:t>
            </w:r>
            <w:r>
              <w:rPr>
                <w:rFonts w:ascii="宋体" w:hAnsi="宋体"/>
              </w:rPr>
              <w:t>%-4.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ascii="宋体" w:hAnsi="宋体"/>
              </w:rPr>
              <w:t>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  <w:rPr>
          <w:lang w:eastAsia="zh-CN"/>
        </w:rPr>
      </w:pPr>
      <w:r>
        <w:rPr>
          <w:rFonts w:hint="eastAsia"/>
        </w:rPr>
        <w:t>产品</w:t>
      </w:r>
      <w:r>
        <w:rPr>
          <w:rFonts w:hint="eastAsia"/>
          <w:lang w:eastAsia="zh-CN"/>
        </w:rPr>
        <w:t>收益</w:t>
      </w:r>
      <w:r>
        <w:rPr>
          <w:rFonts w:hint="eastAsia"/>
        </w:rPr>
        <w:t>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2022-01-01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2022-06-30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2.17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2022-01-01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2022-06-30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974,666.81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1,107,577.96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58,453,565.76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bookmarkStart w:id="3" w:name="_Hlk29928922"/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1.0193</w:t>
            </w:r>
          </w:p>
        </w:tc>
      </w:tr>
      <w:bookmarkEnd w:id="3"/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</w:t>
      </w:r>
      <w:r>
        <w:rPr>
          <w:rFonts w:hint="eastAsia"/>
          <w:lang w:eastAsia="zh-CN"/>
        </w:rPr>
        <w:t>及</w:t>
      </w:r>
      <w:r>
        <w:rPr>
          <w:lang w:eastAsia="zh-CN"/>
        </w:rP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 w:eastAsia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 w:eastAsia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35,628,476.80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60.77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35,628,476.80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60.77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14,002,010.68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23.88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8,884,668.43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15.15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112,012.32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0.19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58,627,168.23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  <w:lang w:eastAsia="zh-CN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本产品主要投资范围为标准化资产，并保有一定流动性储备，整体流动性风险可控。</w:t>
      </w:r>
    </w:p>
    <w:p>
      <w:pPr>
        <w:spacing w:line="360" w:lineRule="auto"/>
        <w:ind w:right="-107" w:rightChars="-51" w:firstLine="420" w:firstLineChars="2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本产品通过额度控制、事前预测、募集资金、正回购及变现高流动性资产的方式应对流动性风险。具体包括：一是跟踪资金申购赎回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</w:rPr>
        <w:t>情况，提前备付流动资金；二是根据产品的期限，合理安排投资资产剩余期限，预防流动性风险；三是产品持有一定比例的高流动性资产，赎回期</w:t>
      </w:r>
      <w:r>
        <w:rPr>
          <w:rFonts w:hint="eastAsia" w:ascii="宋体" w:hAnsi="宋体"/>
          <w:szCs w:val="21"/>
          <w:lang w:eastAsia="zh-CN"/>
        </w:rPr>
        <w:t>（</w:t>
      </w:r>
      <w:r>
        <w:rPr>
          <w:rFonts w:hint="eastAsia" w:ascii="宋体" w:hAnsi="宋体"/>
          <w:szCs w:val="21"/>
          <w:lang w:val="en-US" w:eastAsia="zh-CN"/>
        </w:rPr>
        <w:t>或到期</w:t>
      </w:r>
      <w:r>
        <w:rPr>
          <w:rFonts w:hint="eastAsia" w:ascii="宋体" w:hAnsi="宋体"/>
          <w:szCs w:val="21"/>
          <w:lang w:eastAsia="zh-CN"/>
        </w:rPr>
        <w:t>）</w:t>
      </w:r>
      <w:r>
        <w:rPr>
          <w:rFonts w:hint="eastAsia" w:ascii="宋体" w:hAnsi="宋体"/>
          <w:szCs w:val="21"/>
          <w:lang w:val="en-US" w:eastAsia="zh-CN"/>
        </w:rPr>
        <w:t>前</w:t>
      </w:r>
      <w:r>
        <w:rPr>
          <w:rFonts w:hint="eastAsia" w:ascii="宋体" w:hAnsi="宋体"/>
          <w:szCs w:val="21"/>
        </w:rPr>
        <w:t>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GC007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14,002,010.68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23.95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21眉府01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5,205,226.03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21海河V1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5,173,287.67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22广元投资MTN001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5,122,890.41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21川振兴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5,104,260.27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22民生银行CD100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4,921,900.08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22川菜01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4,019,320.55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3,057,945.21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22眉资01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3,023,646.58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4" w:name="OLE_LINK6"/>
            <w:bookmarkStart w:id="5" w:name="OLE_LINK5"/>
            <w:r>
              <w:rPr>
                <w:rFonts w:ascii="宋体" w:hAnsi="宋体"/>
              </w:rPr>
              <w:t>5.17</w:t>
            </w:r>
            <w:bookmarkEnd w:id="4"/>
            <w:bookmarkEnd w:id="5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 w:eastAsia="zh-CN"/>
        </w:rPr>
        <w:t>关联交易情况说明</w:t>
      </w:r>
    </w:p>
    <w:p>
      <w:pPr>
        <w:spacing w:line="360" w:lineRule="auto"/>
        <w:ind w:right="-107" w:rightChars="-51" w:firstLine="48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 w:cs="宋体"/>
          <w:kern w:val="0"/>
          <w:sz w:val="24"/>
          <w:szCs w:val="24"/>
        </w:rPr>
        <w:t>本报告期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末</w:t>
      </w:r>
      <w:r>
        <w:rPr>
          <w:rFonts w:hint="eastAsia" w:ascii="宋体" w:hAnsi="宋体" w:cs="宋体"/>
          <w:kern w:val="0"/>
          <w:sz w:val="24"/>
          <w:szCs w:val="24"/>
        </w:rPr>
        <w:t>，本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产品投资的21眉天01、22凉山发展MTN001属于关联交易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pStyle w:val="40"/>
      </w:pPr>
      <w:r>
        <w:rPr>
          <w:rFonts w:hint="eastAsia"/>
          <w:lang w:val="en-US" w:eastAsia="zh-CN"/>
        </w:rPr>
        <w:t>影响投资者决策的其他重要信息</w:t>
      </w:r>
    </w:p>
    <w:p>
      <w:pPr>
        <w:jc w:val="left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szCs w:val="21"/>
          <w:lang w:val="en-US" w:eastAsia="zh-CN"/>
        </w:rPr>
        <w:t xml:space="preserve">    无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bookmarkStart w:id="6" w:name="_GoBack"/>
      <w:bookmarkEnd w:id="6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2022-08-</w:t>
      </w:r>
      <w:r>
        <w:rPr>
          <w:rFonts w:hint="eastAsia" w:ascii="宋体" w:hAnsi="宋体"/>
          <w:sz w:val="28"/>
          <w:szCs w:val="28"/>
          <w:lang w:val="en-US" w:eastAsia="zh-CN"/>
        </w:rPr>
        <w:t>01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fmt="decimal" w:start="1" w:chapSep="hyphen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18E770CD"/>
    <w:rsid w:val="2B76254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 w:eastAsia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 w:eastAsia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 w:eastAsia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 w:eastAsia="zh-CN"/>
    </w:rPr>
  </w:style>
  <w:style w:type="character" w:default="1" w:styleId="19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qFormat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 w:eastAsia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qFormat/>
    <w:uiPriority w:val="0"/>
    <w:pPr>
      <w:snapToGrid w:val="0"/>
      <w:jc w:val="left"/>
    </w:pPr>
    <w:rPr>
      <w:sz w:val="18"/>
      <w:szCs w:val="18"/>
      <w:lang w:val="zh-CN" w:eastAsia="zh-CN"/>
    </w:rPr>
  </w:style>
  <w:style w:type="paragraph" w:styleId="1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uiPriority w:val="0"/>
    <w:rPr>
      <w:b/>
      <w:bCs/>
    </w:rPr>
  </w:style>
  <w:style w:type="table" w:styleId="18">
    <w:name w:val="Table Grid"/>
    <w:basedOn w:val="17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qFormat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字符"/>
    <w:link w:val="4"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字符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字符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字符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字符"/>
    <w:link w:val="15"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字符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字符"/>
    <w:link w:val="13"/>
    <w:uiPriority w:val="0"/>
    <w:rPr>
      <w:kern w:val="2"/>
      <w:sz w:val="18"/>
      <w:szCs w:val="18"/>
    </w:rPr>
  </w:style>
  <w:style w:type="character" w:customStyle="1" w:styleId="48">
    <w:name w:val="日期 字符"/>
    <w:link w:val="8"/>
    <w:qFormat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s\FA&#22806;&#21253;-LU70\WbWeb\TBCoreV2\TBCore.Web\Report\Template\Normal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33ED8-1EE1-4735-B60D-88619864371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Company>Lenovo</Company>
  <Pages>5</Pages>
  <Words>1158</Words>
  <Characters>1626</Characters>
  <Lines>13</Lines>
  <Paragraphs>3</Paragraphs>
  <TotalTime>0</TotalTime>
  <ScaleCrop>false</ScaleCrop>
  <LinksUpToDate>false</LinksUpToDate>
  <CharactersWithSpaces>1681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2411-12-31T16:00:00Z</cp:lastPrinted>
  <dcterms:modified xsi:type="dcterms:W3CDTF">2022-07-25T03:06:35Z</dcterms:modified>
  <dc:title>gongGaoMingCheng</dc:title>
  <cp:revision>149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EC14F209E0F7449F8D7B341946367123</vt:lpwstr>
  </property>
</Properties>
</file>