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                               </w:t>
      </w:r>
    </w:p>
    <w:p>
      <w:pPr>
        <w:jc w:val="center"/>
        <w:rPr>
          <w:rFonts w:hint="eastAsia" w:ascii="黑体" w:hAnsi="黑体" w:eastAsia="黑体" w:cs="宋体"/>
          <w:b/>
          <w:bCs/>
          <w:kern w:val="0"/>
          <w:sz w:val="36"/>
          <w:szCs w:val="24"/>
          <w:lang w:val="en-US" w:eastAsia="zh-CN" w:bidi="ar-SA"/>
        </w:rPr>
      </w:pPr>
      <w:r>
        <w:rPr>
          <w:rFonts w:hint="eastAsia" w:ascii="黑体" w:hAnsi="黑体" w:eastAsia="黑体" w:cs="宋体"/>
          <w:b/>
          <w:bCs/>
          <w:kern w:val="0"/>
          <w:sz w:val="36"/>
          <w:szCs w:val="24"/>
          <w:lang w:val="en-US" w:eastAsia="zh-CN" w:bidi="ar-SA"/>
        </w:rPr>
        <w:t>川银系列“美日利”人民币理财产品季度报告</w:t>
      </w:r>
    </w:p>
    <w:p>
      <w:pPr>
        <w:jc w:val="center"/>
        <w:rPr>
          <w:rFonts w:hint="eastAsia" w:ascii="黑体" w:hAnsi="黑体" w:eastAsia="黑体" w:cs="宋体"/>
          <w:b/>
          <w:bCs/>
          <w:kern w:val="0"/>
          <w:sz w:val="36"/>
          <w:szCs w:val="24"/>
          <w:lang w:val="en-US" w:eastAsia="zh-CN" w:bidi="ar-SA"/>
        </w:rPr>
      </w:pPr>
      <w:r>
        <w:rPr>
          <w:rFonts w:hint="eastAsia" w:ascii="黑体" w:hAnsi="黑体" w:eastAsia="黑体" w:cs="宋体"/>
          <w:b/>
          <w:bCs/>
          <w:kern w:val="0"/>
          <w:sz w:val="36"/>
          <w:szCs w:val="24"/>
          <w:lang w:val="en-US" w:eastAsia="zh-CN" w:bidi="ar-SA"/>
        </w:rPr>
        <w:t>2021年7月1日-2021年9月30日</w:t>
      </w:r>
    </w:p>
    <w:p>
      <w:pPr>
        <w:rPr>
          <w:rFonts w:hint="eastAsia"/>
        </w:rPr>
      </w:pPr>
      <w:r>
        <w:rPr>
          <w:rFonts w:hint="eastAsia"/>
        </w:rPr>
        <w:t xml:space="preserve">  </w:t>
      </w:r>
    </w:p>
    <w:p>
      <w:pPr>
        <w:rPr>
          <w:rFonts w:hint="eastAsia"/>
        </w:rPr>
      </w:pPr>
      <w:r>
        <w:rPr>
          <w:rFonts w:hint="eastAsia"/>
        </w:rPr>
        <w:t xml:space="preserve">  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§1  重要提示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产品管理人保证本报告所载资料不存在虚假记载、误导性陈述或重大遗漏，并对其内容的真实性、准确性和完整性承担个别及连带责任。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产品托管人中国工商银行股份有限公司，已复核了本报告中的财务指标、净值表现和投资组合报告等内容，保证复核内容不存在虚假记载、误导性陈述或者重大遗漏。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本报告中财务资料未经审计。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本报告期自起2021年7月1日至2021年9月30日止。   </w:t>
      </w: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 xml:space="preserve">§2  产品概况 </w:t>
      </w:r>
    </w:p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rPr>
          <w:rFonts w:hint="eastAsia"/>
        </w:rPr>
      </w:pPr>
      <w:r>
        <w:rPr>
          <w:rFonts w:hint="eastAsia"/>
        </w:rPr>
        <w:t xml:space="preserve">  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tbl>
      <w:tblPr>
        <w:tblStyle w:val="2"/>
        <w:tblW w:w="8966" w:type="dxa"/>
        <w:tblInd w:w="-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70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867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产品名称</w:t>
            </w:r>
          </w:p>
        </w:tc>
        <w:tc>
          <w:tcPr>
            <w:tcW w:w="7099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川银系列“美日利”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人民币理财产品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产品登记编码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C1079020000071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产品类型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净值型理财产品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报告期末产品存续规模（份）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1,660,221,497.73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收益类型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非保本浮动收益型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发行方式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公募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投资范围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spacing w:before="199" w:after="199"/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本产品资金投于现金类、 货币市场工具、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货币基金等高流动性资产比例为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10%-90%,评级AA（含）以上的各种债券、收益凭证、资产支持证券、资产管理计划等比例为10%-90%，以上投资比例可在正负10%范围区间内波动。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产品成立日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2020年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 xml:space="preserve">月3日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产品终止日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119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杠杆水平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100.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21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风险等级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1级：低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产品管理人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四川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银行股份有限公司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产品托管人</w:t>
            </w:r>
          </w:p>
        </w:tc>
        <w:tc>
          <w:tcPr>
            <w:tcW w:w="7099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中国工商银行股份有限公司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§3  产品业绩表现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 xml:space="preserve">单位：人民币元 </w:t>
      </w:r>
    </w:p>
    <w:p>
      <w:pPr>
        <w:rPr>
          <w:rFonts w:hint="eastAsia"/>
        </w:rPr>
      </w:pPr>
      <w:r>
        <w:rPr>
          <w:rFonts w:hint="eastAsia"/>
        </w:rPr>
        <w:t> </w:t>
      </w:r>
    </w:p>
    <w:tbl>
      <w:tblPr>
        <w:tblStyle w:val="2"/>
        <w:tblW w:w="0" w:type="auto"/>
        <w:tblInd w:w="-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58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3080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主要财务指标</w:t>
            </w:r>
          </w:p>
        </w:tc>
        <w:tc>
          <w:tcPr>
            <w:tcW w:w="589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报告期（2021年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月1日至2021年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月3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1.期末产品资产净值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1,660,221,497.73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2.期末产品份额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1,660,221,497.73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i w:val="0"/>
                <w:color w:val="000000"/>
                <w:sz w:val="24"/>
                <w:szCs w:val="22"/>
                <w:lang w:val="en-US" w:eastAsia="zh-CN"/>
              </w:rPr>
              <w:t>3.期末产品份额净值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1.0000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报告期内保持对市场的密切关注，运用多种方式为客户创造收益，季度末产品基金单位当日收益为</w:t>
      </w:r>
      <w:r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  <w:t>0.9118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 xml:space="preserve">，七日年化为3.1026。      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 xml:space="preserve">§4  产品投资策略和运作分析 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4.1 报告期内产品投资策略和运作分析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产品设立严格符合资管新规要求，投资策略为持有到期。产品自2020年9月成立以来，累计管理规模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1,660,221,497.73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元，截止2021年9月30日，净值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1,660,221,497.73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。 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4.2报告期内产品主要投资风险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产品的投资品种价格受经济因素、政治因素、投资心理和交易制度等各种因素影响而波动，导致收益水平变化产生风险。主要包括：政策风险、经济周期风险、利率风险、信用风险、再投资风险等。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 4.3产品流动性风险分析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 xml:space="preserve">本产品流动性风险整体可控，所配置的资产剩余期限短于或等于产品期限，截止报告日未采用杠杆融资策略。 </w:t>
      </w:r>
    </w:p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§5 投资组合报告 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 xml:space="preserve">5.1 产品投资资产种类 </w:t>
      </w:r>
    </w:p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 </w:t>
      </w:r>
    </w:p>
    <w:tbl>
      <w:tblPr>
        <w:tblStyle w:val="2"/>
        <w:tblW w:w="0" w:type="auto"/>
        <w:tblInd w:w="-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3320"/>
        <w:gridCol w:w="2919"/>
        <w:gridCol w:w="23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序号</w:t>
            </w:r>
          </w:p>
        </w:tc>
        <w:tc>
          <w:tcPr>
            <w:tcW w:w="332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项目</w:t>
            </w:r>
          </w:p>
        </w:tc>
        <w:tc>
          <w:tcPr>
            <w:tcW w:w="2919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面值(元)</w:t>
            </w:r>
          </w:p>
        </w:tc>
        <w:tc>
          <w:tcPr>
            <w:tcW w:w="2385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占组合资产比例(%)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1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固定收益投资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1,048,432,955.60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62.92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3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 xml:space="preserve">  其中：债券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1,048,432,955.60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62.92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4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 xml:space="preserve">  资产支持证券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权益投资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5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 xml:space="preserve">  其中：股票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6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基金投资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7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信托投资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8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金融衍生品投资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9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460,000,920.00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27.61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10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 xml:space="preserve">  其中：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质押式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回购的买入返售金融资产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460,000,920.00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27.61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11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银行存款和结算备付金合计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137,833,582.80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8.27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righ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12"/>
              </w:numPr>
              <w:bidi w:val="0"/>
              <w:ind w:left="720" w:leftChars="0" w:hanging="360" w:firstLineChars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其他资产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19,977,930.62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1.20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/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总计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1,666,245,389.02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100.00</w:t>
            </w:r>
          </w:p>
        </w:tc>
      </w:tr>
    </w:tbl>
    <w:p>
      <w:pP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5.2 前十大资产持仓情况</w:t>
      </w:r>
    </w:p>
    <w:p>
      <w:pPr>
        <w:rPr>
          <w:rFonts w:hint="eastAsia"/>
        </w:rPr>
      </w:pPr>
    </w:p>
    <w:tbl>
      <w:tblPr>
        <w:tblStyle w:val="2"/>
        <w:tblW w:w="0" w:type="auto"/>
        <w:tblInd w:w="-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3320"/>
        <w:gridCol w:w="2919"/>
        <w:gridCol w:w="23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序号</w:t>
            </w:r>
          </w:p>
        </w:tc>
        <w:tc>
          <w:tcPr>
            <w:tcW w:w="332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资产名称</w:t>
            </w:r>
          </w:p>
        </w:tc>
        <w:tc>
          <w:tcPr>
            <w:tcW w:w="2919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资产面值(元)</w:t>
            </w:r>
          </w:p>
        </w:tc>
        <w:tc>
          <w:tcPr>
            <w:tcW w:w="2385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占比（%）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21天投Y2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150,000,000.00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9.03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21攀国投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21自高债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21上海银行CD167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21自贡城投SCP001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100,000,000.00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6.02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21川发资管PPN001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80,000,000.00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4.82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21长沙银行CD205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3.61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21东方电气MTN002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3.61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21成都农商银行CD200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3.61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center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21广元01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60,000,000.00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numPr>
                <w:ilvl w:val="0"/>
                <w:numId w:val="2"/>
              </w:numPr>
              <w:bidi w:val="0"/>
              <w:ind w:left="720" w:leftChars="0" w:hanging="360" w:firstLineChars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3.61</w:t>
            </w:r>
          </w:p>
        </w:tc>
      </w:tr>
    </w:tbl>
    <w:p>
      <w:pPr>
        <w:rPr>
          <w:rFonts w:hint="eastAsia"/>
        </w:rPr>
      </w:pPr>
    </w:p>
    <w:p>
      <w:pPr>
        <w:rPr>
          <w:rFonts w:hint="default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§6  关联交易情况说明</w:t>
      </w:r>
    </w:p>
    <w:p>
      <w:pPr>
        <w:rPr>
          <w:rFonts w:hint="eastAsia"/>
        </w:rPr>
      </w:pP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本报告期末，本产品投资的“2021年攀枝花市国有投资(集团)有限责任公司公司债券”（简称“21攀国投”）、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“四川发展资产管理有限公司2021年度第一期定向债务融资工具”（简称“21川发资管PPN001”）、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“成都天府新区投资集团有限公司2021年公开发行可续期公司债券(面向合格投资者)(第一期)”（简称“21天投Y2”）属于关联交易。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spacing w:after="240"/>
        <w:jc w:val="both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§7</w:t>
      </w:r>
      <w:r>
        <w:rPr>
          <w:rFonts w:ascii="宋体" w:hAnsi="宋体" w:cs="宋体"/>
          <w:b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kern w:val="0"/>
          <w:sz w:val="24"/>
          <w:szCs w:val="24"/>
        </w:rPr>
        <w:t>影响投资者决策的其他重要信息</w:t>
      </w:r>
    </w:p>
    <w:p>
      <w:pPr>
        <w:widowControl/>
        <w:spacing w:after="240"/>
        <w:jc w:val="left"/>
        <w:rPr>
          <w:rFonts w:asci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7</w:t>
      </w:r>
      <w:r>
        <w:rPr>
          <w:rFonts w:ascii="宋体" w:hAnsi="宋体" w:cs="宋体"/>
          <w:b/>
          <w:kern w:val="0"/>
          <w:sz w:val="24"/>
          <w:szCs w:val="24"/>
        </w:rPr>
        <w:t xml:space="preserve">.1 </w:t>
      </w:r>
      <w:r>
        <w:rPr>
          <w:rFonts w:hint="eastAsia" w:ascii="宋体" w:hAnsi="宋体" w:cs="宋体"/>
          <w:b/>
          <w:kern w:val="0"/>
          <w:sz w:val="24"/>
          <w:szCs w:val="24"/>
        </w:rPr>
        <w:t>影响投资者决策的其他重要信息</w:t>
      </w:r>
    </w:p>
    <w:p>
      <w:pPr>
        <w:widowControl/>
        <w:spacing w:after="240"/>
        <w:jc w:val="left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无。</w:t>
      </w:r>
    </w:p>
    <w:p>
      <w:pPr>
        <w:widowControl/>
        <w:spacing w:after="240"/>
        <w:jc w:val="left"/>
        <w:rPr>
          <w:rFonts w:ascii="宋体" w:cs="宋体"/>
          <w:kern w:val="0"/>
          <w:sz w:val="24"/>
          <w:szCs w:val="24"/>
        </w:rPr>
      </w:pPr>
    </w:p>
    <w:p>
      <w:pPr>
        <w:widowControl/>
        <w:spacing w:after="240"/>
        <w:jc w:val="left"/>
        <w:rPr>
          <w:rFonts w:asci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7</w:t>
      </w:r>
      <w:r>
        <w:rPr>
          <w:rFonts w:ascii="宋体" w:hAnsi="宋体" w:cs="宋体"/>
          <w:b/>
          <w:kern w:val="0"/>
          <w:sz w:val="24"/>
          <w:szCs w:val="24"/>
        </w:rPr>
        <w:t>.2</w:t>
      </w:r>
      <w:r>
        <w:rPr>
          <w:rFonts w:hint="eastAsia" w:ascii="宋体" w:hAnsi="宋体" w:cs="宋体"/>
          <w:b/>
          <w:kern w:val="0"/>
          <w:sz w:val="24"/>
          <w:szCs w:val="24"/>
        </w:rPr>
        <w:t>其他事项。</w:t>
      </w:r>
    </w:p>
    <w:p>
      <w:pPr>
        <w:widowControl/>
        <w:spacing w:after="240"/>
        <w:jc w:val="left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无。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  </w:t>
      </w:r>
    </w:p>
    <w:p>
      <w:pPr>
        <w:rPr>
          <w:rFonts w:hint="eastAsia"/>
        </w:rPr>
      </w:pPr>
      <w:r>
        <w:rPr>
          <w:rFonts w:hint="eastAsia"/>
        </w:rPr>
        <w:t xml:space="preserve">  </w:t>
      </w:r>
    </w:p>
    <w:p>
      <w:r>
        <w:rPr>
          <w:rFonts w:hint="eastAsia"/>
        </w:rPr>
        <w:t xml:space="preserve"> 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02A4E"/>
    <w:rsid w:val="0C2E3726"/>
    <w:rsid w:val="37462098"/>
    <w:rsid w:val="3B657219"/>
    <w:rsid w:val="434347B2"/>
    <w:rsid w:val="4B303C58"/>
    <w:rsid w:val="51902A4E"/>
    <w:rsid w:val="608D227C"/>
    <w:rsid w:val="61402072"/>
    <w:rsid w:val="7C53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dazhangjie"/>
    <w:basedOn w:val="1"/>
    <w:qFormat/>
    <w:uiPriority w:val="0"/>
    <w:pPr>
      <w:widowControl/>
      <w:autoSpaceDE w:val="0"/>
      <w:autoSpaceDN w:val="0"/>
      <w:adjustRightInd w:val="0"/>
      <w:spacing w:before="30" w:line="288" w:lineRule="auto"/>
      <w:ind w:left="15"/>
      <w:jc w:val="center"/>
      <w:outlineLvl w:val="0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biaoge_left"/>
    <w:basedOn w:val="1"/>
    <w:qFormat/>
    <w:uiPriority w:val="0"/>
    <w:pPr>
      <w:widowControl/>
      <w:autoSpaceDE w:val="0"/>
      <w:autoSpaceDN w:val="0"/>
      <w:adjustRightInd w:val="0"/>
      <w:spacing w:before="29" w:line="288" w:lineRule="auto"/>
      <w:ind w:left="15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2021-07-26T08:50:00Z</dcterms:created>
  <dc:creator>苏晓雅</dc:creator>
  <cp:lastModifiedBy>苏晓雅</cp:lastModifiedBy>
  <dcterms:modified xsi:type="dcterms:W3CDTF">2021-10-25T01:37:14Z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CB40ABE83AD94E27902697A382145579</vt:lpwstr>
  </property>
</Properties>
</file>